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548A91" w14:textId="7A701875" w:rsidR="00A2208A" w:rsidRPr="00E446E8" w:rsidRDefault="00725DCB" w:rsidP="00A2208A">
      <w:pPr>
        <w:tabs>
          <w:tab w:val="center" w:pos="4153"/>
          <w:tab w:val="right" w:pos="9923"/>
        </w:tabs>
        <w:spacing w:after="120" w:line="240" w:lineRule="auto"/>
        <w:jc w:val="both"/>
        <w:rPr>
          <w:rFonts w:eastAsia="Malgun Gothic"/>
          <w:b/>
          <w:bCs/>
          <w:sz w:val="28"/>
          <w:lang w:eastAsia="ko-KR"/>
        </w:rPr>
      </w:pPr>
      <w:r>
        <w:rPr>
          <w:rFonts w:eastAsia="Malgun Gothic"/>
          <w:b/>
          <w:bCs/>
          <w:sz w:val="28"/>
        </w:rPr>
        <w:t>3GPP TSG RAN WG5 Meeting #80</w:t>
      </w:r>
      <w:r w:rsidR="00A2208A" w:rsidRPr="00E446E8">
        <w:rPr>
          <w:rFonts w:eastAsia="Malgun Gothic"/>
          <w:b/>
          <w:bCs/>
          <w:sz w:val="28"/>
          <w:lang w:eastAsia="ko-KR"/>
        </w:rPr>
        <w:tab/>
      </w:r>
      <w:r w:rsidR="00A2208A" w:rsidRPr="00E446E8">
        <w:rPr>
          <w:rFonts w:eastAsia="Malgun Gothic"/>
          <w:b/>
          <w:bCs/>
          <w:sz w:val="28"/>
        </w:rPr>
        <w:t>R5-18</w:t>
      </w:r>
      <w:r w:rsidR="00EA48B9">
        <w:rPr>
          <w:rFonts w:eastAsia="Malgun Gothic"/>
          <w:b/>
          <w:bCs/>
          <w:sz w:val="28"/>
        </w:rPr>
        <w:t>5318</w:t>
      </w:r>
    </w:p>
    <w:p w14:paraId="4A54CA72" w14:textId="5A902516" w:rsidR="00A2208A" w:rsidRPr="00E446E8" w:rsidRDefault="00725DCB" w:rsidP="00A2208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725DCB">
        <w:rPr>
          <w:rFonts w:eastAsia="Malgun Gothic"/>
          <w:b/>
          <w:bCs/>
          <w:sz w:val="28"/>
          <w:lang w:eastAsia="ko-KR"/>
        </w:rPr>
        <w:t>Gothenburg, Sweden, 20</w:t>
      </w:r>
      <w:r w:rsidRPr="00725DCB">
        <w:rPr>
          <w:rFonts w:eastAsia="Malgun Gothic"/>
          <w:b/>
          <w:bCs/>
          <w:sz w:val="28"/>
          <w:vertAlign w:val="superscript"/>
          <w:lang w:eastAsia="ko-KR"/>
        </w:rPr>
        <w:t>th</w:t>
      </w:r>
      <w:r>
        <w:rPr>
          <w:rFonts w:eastAsia="Malgun Gothic"/>
          <w:b/>
          <w:bCs/>
          <w:sz w:val="28"/>
          <w:lang w:eastAsia="ko-KR"/>
        </w:rPr>
        <w:t xml:space="preserve"> – 24</w:t>
      </w:r>
      <w:r w:rsidRPr="00725DCB">
        <w:rPr>
          <w:rFonts w:eastAsia="Malgun Gothic"/>
          <w:b/>
          <w:bCs/>
          <w:sz w:val="28"/>
          <w:vertAlign w:val="superscript"/>
          <w:lang w:eastAsia="ko-KR"/>
        </w:rPr>
        <w:t>th</w:t>
      </w:r>
      <w:r>
        <w:rPr>
          <w:rFonts w:eastAsia="Malgun Gothic"/>
          <w:b/>
          <w:bCs/>
          <w:sz w:val="28"/>
          <w:lang w:eastAsia="ko-KR"/>
        </w:rPr>
        <w:t xml:space="preserve"> </w:t>
      </w:r>
      <w:r w:rsidRPr="00725DCB">
        <w:rPr>
          <w:rFonts w:eastAsia="Malgun Gothic"/>
          <w:b/>
          <w:bCs/>
          <w:sz w:val="28"/>
          <w:lang w:eastAsia="ko-KR"/>
        </w:rPr>
        <w:t>August 2018</w:t>
      </w:r>
    </w:p>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3B6F3F26" w14:textId="77777777" w:rsidR="002945F8" w:rsidRDefault="00A2208A" w:rsidP="002945F8">
      <w:pPr>
        <w:ind w:left="2160" w:hanging="2160"/>
      </w:pPr>
      <w:r w:rsidRPr="00E446E8">
        <w:rPr>
          <w:b/>
        </w:rPr>
        <w:t>Title:</w:t>
      </w:r>
      <w:r w:rsidRPr="00E446E8">
        <w:rPr>
          <w:b/>
        </w:rPr>
        <w:tab/>
      </w:r>
      <w:r w:rsidR="002945F8" w:rsidRPr="002945F8">
        <w:t>Discussion on test point selection for In-band Emissions test case in FR1</w:t>
      </w:r>
    </w:p>
    <w:p w14:paraId="0483421E" w14:textId="75AF8284" w:rsidR="00A2208A" w:rsidRPr="00E446E8" w:rsidRDefault="00A2208A" w:rsidP="002945F8">
      <w:pPr>
        <w:ind w:left="2160" w:hanging="2160"/>
        <w:rPr>
          <w:bCs/>
          <w:lang w:eastAsia="ja-JP"/>
        </w:rPr>
      </w:pPr>
      <w:r w:rsidRPr="00E446E8">
        <w:rPr>
          <w:b/>
        </w:rPr>
        <w:t>Agenda Item:</w:t>
      </w:r>
      <w:r w:rsidR="00BB2F5E">
        <w:tab/>
        <w:t>5.3.13.</w:t>
      </w:r>
      <w:r w:rsidR="002945F8">
        <w:t>17</w:t>
      </w:r>
    </w:p>
    <w:p w14:paraId="3A8C349E" w14:textId="77777777" w:rsidR="00A2208A" w:rsidRPr="00E446E8" w:rsidRDefault="00A2208A" w:rsidP="00A2208A">
      <w:pPr>
        <w:rPr>
          <w:sz w:val="18"/>
          <w:szCs w:val="18"/>
        </w:rPr>
      </w:pPr>
      <w:r w:rsidRPr="00E446E8">
        <w:rPr>
          <w:b/>
        </w:rPr>
        <w:t>Document for:</w:t>
      </w:r>
      <w:r w:rsidRPr="00E446E8">
        <w:tab/>
        <w:t>Endorsement</w:t>
      </w:r>
    </w:p>
    <w:p w14:paraId="7CA60390" w14:textId="77777777" w:rsidR="00B81FC7" w:rsidRPr="00E446E8" w:rsidRDefault="00B81FC7" w:rsidP="00B81FC7">
      <w:pPr>
        <w:pStyle w:val="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C56E6E6" w:rsidR="00E446E8" w:rsidRPr="00E446E8" w:rsidRDefault="00E446E8" w:rsidP="00E446E8">
      <w:pPr>
        <w:jc w:val="both"/>
      </w:pPr>
      <w:r w:rsidRPr="00E446E8">
        <w:t xml:space="preserve">In this contribution the selection of frequency, channel BW, SCS, RB allocation and waveform for the </w:t>
      </w:r>
      <w:r w:rsidR="00B848EE">
        <w:t>In-band Emissions</w:t>
      </w:r>
      <w:r w:rsidRPr="00E446E8">
        <w:t xml:space="preserve"> test case is analyzed.</w:t>
      </w:r>
    </w:p>
    <w:p w14:paraId="59D92B3E" w14:textId="238EFAE2" w:rsidR="00FC45FA" w:rsidRPr="00E446E8" w:rsidRDefault="00725DCB" w:rsidP="00FC45FA">
      <w:pPr>
        <w:pStyle w:val="1"/>
        <w:rPr>
          <w:rFonts w:cs="Arial"/>
          <w:lang w:val="en-US"/>
        </w:rPr>
      </w:pPr>
      <w:r>
        <w:rPr>
          <w:lang w:val="en-US"/>
        </w:rPr>
        <w:t>Discussion</w:t>
      </w:r>
    </w:p>
    <w:p w14:paraId="198C626B" w14:textId="7D905470" w:rsidR="00E446E8" w:rsidRDefault="00725DCB" w:rsidP="008829FA">
      <w:pPr>
        <w:rPr>
          <w:lang w:eastAsia="en-US"/>
        </w:rPr>
      </w:pPr>
      <w:r>
        <w:rPr>
          <w:lang w:eastAsia="en-US"/>
        </w:rPr>
        <w:t xml:space="preserve">The </w:t>
      </w:r>
      <w:r w:rsidR="00B848EE">
        <w:rPr>
          <w:lang w:eastAsia="en-US"/>
        </w:rPr>
        <w:t>In-band Emissions are unwanted signals present in non-allocated RB</w:t>
      </w:r>
      <w:r>
        <w:rPr>
          <w:lang w:eastAsia="en-US"/>
        </w:rPr>
        <w:t>s</w:t>
      </w:r>
      <w:r w:rsidR="00B848EE">
        <w:rPr>
          <w:lang w:eastAsia="en-US"/>
        </w:rPr>
        <w:t xml:space="preserve"> </w:t>
      </w:r>
      <w:r>
        <w:rPr>
          <w:lang w:eastAsia="en-US"/>
        </w:rPr>
        <w:t xml:space="preserve">and </w:t>
      </w:r>
      <w:r w:rsidR="00B848EE">
        <w:rPr>
          <w:lang w:eastAsia="en-US"/>
        </w:rPr>
        <w:t>are</w:t>
      </w:r>
      <w:r>
        <w:rPr>
          <w:lang w:eastAsia="en-US"/>
        </w:rPr>
        <w:t xml:space="preserve"> defined in </w:t>
      </w:r>
      <w:r w:rsidR="00E446E8">
        <w:rPr>
          <w:lang w:eastAsia="en-US"/>
        </w:rPr>
        <w:t>section 6.4.2.</w:t>
      </w:r>
      <w:r w:rsidR="00D96B2D">
        <w:rPr>
          <w:lang w:eastAsia="en-US"/>
        </w:rPr>
        <w:t>3</w:t>
      </w:r>
      <w:r w:rsidR="00E446E8">
        <w:rPr>
          <w:lang w:eastAsia="en-US"/>
        </w:rPr>
        <w:t xml:space="preserve"> and Annex F Trans</w:t>
      </w:r>
      <w:r w:rsidR="00062ECE">
        <w:rPr>
          <w:lang w:eastAsia="en-US"/>
        </w:rPr>
        <w:t>mit Modulation of TS 38.101-1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29106B1E" w14:textId="77777777" w:rsidR="00B848EE" w:rsidRPr="00B848EE" w:rsidRDefault="00B848EE" w:rsidP="00B848EE">
      <w:pPr>
        <w:shd w:val="clear" w:color="auto" w:fill="E7E6E6"/>
        <w:spacing w:after="180" w:line="240" w:lineRule="auto"/>
        <w:rPr>
          <w:i/>
          <w:sz w:val="20"/>
          <w:szCs w:val="20"/>
          <w:lang w:val="en-GB" w:eastAsia="de-DE"/>
        </w:rPr>
      </w:pPr>
      <w:bookmarkStart w:id="2" w:name="_Toc518915436"/>
      <w:bookmarkStart w:id="3" w:name="_Hlk497415844"/>
      <w:r w:rsidRPr="00B848EE">
        <w:rPr>
          <w:i/>
          <w:sz w:val="20"/>
          <w:szCs w:val="20"/>
          <w:lang w:val="en-GB" w:eastAsia="de-DE"/>
        </w:rPr>
        <w:t>6.4.2.3</w:t>
      </w:r>
      <w:r w:rsidRPr="00B848EE">
        <w:rPr>
          <w:i/>
          <w:sz w:val="20"/>
          <w:szCs w:val="20"/>
          <w:lang w:val="en-GB" w:eastAsia="de-DE"/>
        </w:rPr>
        <w:tab/>
        <w:t>In-band emissions</w:t>
      </w:r>
    </w:p>
    <w:p w14:paraId="75EA299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3349D7C7"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 </w:t>
      </w:r>
    </w:p>
    <w:p w14:paraId="32E7AC0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The average of the basic in-band emission measurement over 10 sub-frames shall not exceed the values specified in Table 6.4.2.3-1.</w:t>
      </w:r>
    </w:p>
    <w:p w14:paraId="7CBEA3D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B848EE" w:rsidRPr="00B848EE" w14:paraId="7AE57298" w14:textId="77777777" w:rsidTr="00A874ED">
        <w:trPr>
          <w:jc w:val="center"/>
        </w:trPr>
        <w:tc>
          <w:tcPr>
            <w:tcW w:w="1205" w:type="dxa"/>
            <w:tcBorders>
              <w:bottom w:val="single" w:sz="4" w:space="0" w:color="auto"/>
              <w:right w:val="single" w:sz="4" w:space="0" w:color="auto"/>
            </w:tcBorders>
            <w:shd w:val="clear" w:color="auto" w:fill="auto"/>
            <w:vAlign w:val="center"/>
          </w:tcPr>
          <w:p w14:paraId="38A0442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776345E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367EE3C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CF41564"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Applicable Frequencies</w:t>
            </w:r>
          </w:p>
        </w:tc>
      </w:tr>
      <w:tr w:rsidR="00B848EE" w:rsidRPr="00B848EE" w14:paraId="54773ACC" w14:textId="77777777" w:rsidTr="00A874ED">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F6A262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General</w:t>
            </w:r>
          </w:p>
        </w:tc>
        <w:tc>
          <w:tcPr>
            <w:tcW w:w="1293" w:type="dxa"/>
            <w:tcBorders>
              <w:top w:val="single" w:sz="4" w:space="0" w:color="auto"/>
              <w:left w:val="single" w:sz="4" w:space="0" w:color="auto"/>
              <w:bottom w:val="single" w:sz="4" w:space="0" w:color="auto"/>
              <w:right w:val="single" w:sz="4" w:space="0" w:color="auto"/>
            </w:tcBorders>
            <w:vAlign w:val="center"/>
          </w:tcPr>
          <w:p w14:paraId="3647A16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7506EAF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object w:dxaOrig="4099" w:dyaOrig="1120" w14:anchorId="2E5FF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pt;height:45.2pt" o:ole="">
                  <v:imagedata r:id="rId8" o:title=""/>
                </v:shape>
                <o:OLEObject Type="Embed" ProgID="Equation.3" ShapeID="_x0000_i1025" DrawAspect="Content" ObjectID="_1626703339" r:id="rId9"/>
              </w:object>
            </w:r>
          </w:p>
        </w:tc>
        <w:tc>
          <w:tcPr>
            <w:tcW w:w="1682" w:type="dxa"/>
            <w:tcBorders>
              <w:top w:val="single" w:sz="4" w:space="0" w:color="auto"/>
              <w:left w:val="single" w:sz="4" w:space="0" w:color="auto"/>
              <w:bottom w:val="single" w:sz="4" w:space="0" w:color="auto"/>
              <w:right w:val="single" w:sz="4" w:space="0" w:color="auto"/>
            </w:tcBorders>
            <w:vAlign w:val="center"/>
          </w:tcPr>
          <w:p w14:paraId="256FFE3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Any non-allocated (NOTE 2)</w:t>
            </w:r>
          </w:p>
        </w:tc>
      </w:tr>
      <w:tr w:rsidR="00B848EE" w:rsidRPr="00B848EE" w14:paraId="7261CA0B" w14:textId="77777777" w:rsidTr="00A874ED">
        <w:trPr>
          <w:trHeight w:val="20"/>
          <w:jc w:val="center"/>
        </w:trPr>
        <w:tc>
          <w:tcPr>
            <w:tcW w:w="1205" w:type="dxa"/>
            <w:vMerge w:val="restart"/>
            <w:tcBorders>
              <w:top w:val="single" w:sz="4" w:space="0" w:color="auto"/>
              <w:right w:val="single" w:sz="4" w:space="0" w:color="auto"/>
            </w:tcBorders>
            <w:shd w:val="clear" w:color="auto" w:fill="auto"/>
            <w:vAlign w:val="center"/>
          </w:tcPr>
          <w:p w14:paraId="7D17894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IQ Image</w:t>
            </w:r>
          </w:p>
        </w:tc>
        <w:tc>
          <w:tcPr>
            <w:tcW w:w="1293" w:type="dxa"/>
            <w:vMerge w:val="restart"/>
            <w:tcBorders>
              <w:top w:val="single" w:sz="4" w:space="0" w:color="auto"/>
              <w:left w:val="single" w:sz="4" w:space="0" w:color="auto"/>
              <w:right w:val="single" w:sz="4" w:space="0" w:color="auto"/>
            </w:tcBorders>
            <w:vAlign w:val="center"/>
          </w:tcPr>
          <w:p w14:paraId="0AF9B16D"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dB</w:t>
            </w:r>
          </w:p>
        </w:tc>
        <w:tc>
          <w:tcPr>
            <w:tcW w:w="1265" w:type="dxa"/>
            <w:tcBorders>
              <w:top w:val="single" w:sz="4" w:space="0" w:color="auto"/>
              <w:left w:val="single" w:sz="4" w:space="0" w:color="auto"/>
              <w:right w:val="single" w:sz="4" w:space="0" w:color="auto"/>
            </w:tcBorders>
            <w:vAlign w:val="center"/>
          </w:tcPr>
          <w:p w14:paraId="28184D3C"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-28</w:t>
            </w:r>
          </w:p>
        </w:tc>
        <w:tc>
          <w:tcPr>
            <w:tcW w:w="4155" w:type="dxa"/>
            <w:tcBorders>
              <w:top w:val="single" w:sz="4" w:space="0" w:color="auto"/>
              <w:left w:val="single" w:sz="4" w:space="0" w:color="auto"/>
              <w:right w:val="single" w:sz="4" w:space="0" w:color="auto"/>
            </w:tcBorders>
            <w:vAlign w:val="center"/>
          </w:tcPr>
          <w:p w14:paraId="4757B7D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Image frequencies when output power &gt; 10 </w:t>
            </w:r>
            <w:proofErr w:type="spellStart"/>
            <w:r w:rsidRPr="00B848EE">
              <w:rPr>
                <w:i/>
                <w:sz w:val="20"/>
                <w:szCs w:val="20"/>
                <w:lang w:val="en-GB" w:eastAsia="de-DE"/>
              </w:rPr>
              <w:t>dBm</w:t>
            </w:r>
            <w:proofErr w:type="spellEnd"/>
          </w:p>
        </w:tc>
        <w:tc>
          <w:tcPr>
            <w:tcW w:w="1682" w:type="dxa"/>
            <w:vMerge w:val="restart"/>
            <w:tcBorders>
              <w:top w:val="single" w:sz="4" w:space="0" w:color="auto"/>
              <w:left w:val="single" w:sz="4" w:space="0" w:color="auto"/>
              <w:right w:val="single" w:sz="4" w:space="0" w:color="auto"/>
            </w:tcBorders>
            <w:vAlign w:val="center"/>
          </w:tcPr>
          <w:p w14:paraId="0B3459B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Image frequencies (NOTES 2, 3)</w:t>
            </w:r>
          </w:p>
        </w:tc>
      </w:tr>
      <w:tr w:rsidR="00B848EE" w:rsidRPr="00B848EE" w14:paraId="30801B18" w14:textId="77777777" w:rsidTr="00A874ED">
        <w:trPr>
          <w:trHeight w:val="20"/>
          <w:jc w:val="center"/>
        </w:trPr>
        <w:tc>
          <w:tcPr>
            <w:tcW w:w="1205" w:type="dxa"/>
            <w:vMerge/>
            <w:tcBorders>
              <w:right w:val="single" w:sz="4" w:space="0" w:color="auto"/>
            </w:tcBorders>
            <w:shd w:val="clear" w:color="auto" w:fill="auto"/>
            <w:vAlign w:val="center"/>
          </w:tcPr>
          <w:p w14:paraId="2C90F3AB"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4FE0C1B5"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7C742DB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-25</w:t>
            </w:r>
          </w:p>
        </w:tc>
        <w:tc>
          <w:tcPr>
            <w:tcW w:w="4155" w:type="dxa"/>
            <w:tcBorders>
              <w:top w:val="single" w:sz="4" w:space="0" w:color="auto"/>
              <w:left w:val="single" w:sz="4" w:space="0" w:color="auto"/>
              <w:right w:val="single" w:sz="4" w:space="0" w:color="auto"/>
            </w:tcBorders>
            <w:vAlign w:val="center"/>
          </w:tcPr>
          <w:p w14:paraId="100BCEE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Image frequencies when output power ≤ 10 </w:t>
            </w:r>
            <w:proofErr w:type="spellStart"/>
            <w:r w:rsidRPr="00B848EE">
              <w:rPr>
                <w:i/>
                <w:sz w:val="20"/>
                <w:szCs w:val="20"/>
                <w:lang w:val="en-GB" w:eastAsia="de-DE"/>
              </w:rPr>
              <w:t>dBm</w:t>
            </w:r>
            <w:proofErr w:type="spellEnd"/>
          </w:p>
        </w:tc>
        <w:tc>
          <w:tcPr>
            <w:tcW w:w="1682" w:type="dxa"/>
            <w:vMerge/>
            <w:tcBorders>
              <w:left w:val="single" w:sz="4" w:space="0" w:color="auto"/>
              <w:right w:val="single" w:sz="4" w:space="0" w:color="auto"/>
            </w:tcBorders>
            <w:vAlign w:val="center"/>
          </w:tcPr>
          <w:p w14:paraId="300E5282"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361D18B8" w14:textId="77777777" w:rsidTr="00A874ED">
        <w:trPr>
          <w:trHeight w:val="208"/>
          <w:jc w:val="center"/>
        </w:trPr>
        <w:tc>
          <w:tcPr>
            <w:tcW w:w="1205" w:type="dxa"/>
            <w:vMerge w:val="restart"/>
            <w:tcBorders>
              <w:top w:val="single" w:sz="4" w:space="0" w:color="auto"/>
              <w:right w:val="single" w:sz="4" w:space="0" w:color="auto"/>
            </w:tcBorders>
            <w:shd w:val="clear" w:color="auto" w:fill="auto"/>
            <w:vAlign w:val="center"/>
          </w:tcPr>
          <w:p w14:paraId="3D9C47B4"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Carrier leakage</w:t>
            </w:r>
          </w:p>
        </w:tc>
        <w:tc>
          <w:tcPr>
            <w:tcW w:w="1293" w:type="dxa"/>
            <w:vMerge w:val="restart"/>
            <w:tcBorders>
              <w:top w:val="single" w:sz="4" w:space="0" w:color="auto"/>
              <w:left w:val="single" w:sz="4" w:space="0" w:color="auto"/>
              <w:right w:val="single" w:sz="4" w:space="0" w:color="auto"/>
            </w:tcBorders>
            <w:vAlign w:val="center"/>
          </w:tcPr>
          <w:p w14:paraId="2F779205" w14:textId="77777777" w:rsidR="00B848EE" w:rsidRPr="00B848EE" w:rsidRDefault="00B848EE" w:rsidP="00B848EE">
            <w:pPr>
              <w:shd w:val="clear" w:color="auto" w:fill="E7E6E6"/>
              <w:spacing w:after="180" w:line="240" w:lineRule="auto"/>
              <w:rPr>
                <w:i/>
                <w:sz w:val="20"/>
                <w:szCs w:val="20"/>
                <w:lang w:val="en-GB" w:eastAsia="de-DE"/>
              </w:rPr>
            </w:pPr>
            <w:proofErr w:type="spellStart"/>
            <w:r w:rsidRPr="00B848EE">
              <w:rPr>
                <w:i/>
                <w:sz w:val="20"/>
                <w:szCs w:val="20"/>
                <w:lang w:val="en-GB" w:eastAsia="de-DE"/>
              </w:rPr>
              <w:t>dBc</w:t>
            </w:r>
            <w:proofErr w:type="spellEnd"/>
          </w:p>
        </w:tc>
        <w:tc>
          <w:tcPr>
            <w:tcW w:w="1265" w:type="dxa"/>
            <w:tcBorders>
              <w:top w:val="single" w:sz="4" w:space="0" w:color="auto"/>
              <w:left w:val="single" w:sz="4" w:space="0" w:color="auto"/>
              <w:right w:val="single" w:sz="4" w:space="0" w:color="auto"/>
            </w:tcBorders>
            <w:vAlign w:val="center"/>
          </w:tcPr>
          <w:p w14:paraId="19298430"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-28</w:t>
            </w:r>
          </w:p>
        </w:tc>
        <w:tc>
          <w:tcPr>
            <w:tcW w:w="4155" w:type="dxa"/>
            <w:tcBorders>
              <w:top w:val="single" w:sz="4" w:space="0" w:color="auto"/>
              <w:left w:val="single" w:sz="4" w:space="0" w:color="auto"/>
              <w:right w:val="single" w:sz="4" w:space="0" w:color="auto"/>
            </w:tcBorders>
            <w:shd w:val="clear" w:color="auto" w:fill="auto"/>
            <w:vAlign w:val="center"/>
          </w:tcPr>
          <w:p w14:paraId="68C0EC0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Output power &gt; 10 </w:t>
            </w:r>
            <w:proofErr w:type="spellStart"/>
            <w:r w:rsidRPr="00B848EE">
              <w:rPr>
                <w:i/>
                <w:sz w:val="20"/>
                <w:szCs w:val="20"/>
                <w:lang w:val="en-GB" w:eastAsia="de-DE"/>
              </w:rPr>
              <w:t>dBm</w:t>
            </w:r>
            <w:proofErr w:type="spellEnd"/>
            <w:r w:rsidRPr="00B848EE">
              <w:rPr>
                <w:i/>
                <w:sz w:val="20"/>
                <w:szCs w:val="20"/>
                <w:lang w:val="en-GB" w:eastAsia="de-DE"/>
              </w:rPr>
              <w:t xml:space="preserve"> </w:t>
            </w:r>
          </w:p>
        </w:tc>
        <w:tc>
          <w:tcPr>
            <w:tcW w:w="1682" w:type="dxa"/>
            <w:vMerge w:val="restart"/>
            <w:tcBorders>
              <w:top w:val="single" w:sz="4" w:space="0" w:color="auto"/>
              <w:left w:val="single" w:sz="4" w:space="0" w:color="auto"/>
              <w:right w:val="single" w:sz="4" w:space="0" w:color="auto"/>
            </w:tcBorders>
            <w:vAlign w:val="center"/>
          </w:tcPr>
          <w:p w14:paraId="4C2B59B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Carrier leakage frequency (NOTES 4, 5)</w:t>
            </w:r>
          </w:p>
        </w:tc>
      </w:tr>
      <w:tr w:rsidR="00B848EE" w:rsidRPr="00B848EE" w14:paraId="0A3B860A" w14:textId="77777777" w:rsidTr="00A874ED">
        <w:trPr>
          <w:trHeight w:val="208"/>
          <w:jc w:val="center"/>
        </w:trPr>
        <w:tc>
          <w:tcPr>
            <w:tcW w:w="1205" w:type="dxa"/>
            <w:vMerge/>
            <w:tcBorders>
              <w:top w:val="single" w:sz="4" w:space="0" w:color="auto"/>
              <w:right w:val="single" w:sz="4" w:space="0" w:color="auto"/>
            </w:tcBorders>
            <w:shd w:val="clear" w:color="auto" w:fill="auto"/>
            <w:vAlign w:val="center"/>
          </w:tcPr>
          <w:p w14:paraId="154A2BE1"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top w:val="single" w:sz="4" w:space="0" w:color="auto"/>
              <w:left w:val="single" w:sz="4" w:space="0" w:color="auto"/>
              <w:right w:val="single" w:sz="4" w:space="0" w:color="auto"/>
            </w:tcBorders>
            <w:vAlign w:val="center"/>
          </w:tcPr>
          <w:p w14:paraId="598212D4"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6E1942C7"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-25</w:t>
            </w:r>
          </w:p>
        </w:tc>
        <w:tc>
          <w:tcPr>
            <w:tcW w:w="4155" w:type="dxa"/>
            <w:tcBorders>
              <w:top w:val="single" w:sz="4" w:space="0" w:color="auto"/>
              <w:left w:val="single" w:sz="4" w:space="0" w:color="auto"/>
              <w:right w:val="single" w:sz="4" w:space="0" w:color="auto"/>
            </w:tcBorders>
            <w:shd w:val="clear" w:color="auto" w:fill="auto"/>
            <w:vAlign w:val="center"/>
          </w:tcPr>
          <w:p w14:paraId="5A23BE7B"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0 </w:t>
            </w:r>
            <w:proofErr w:type="spellStart"/>
            <w:r w:rsidRPr="00B848EE">
              <w:rPr>
                <w:i/>
                <w:sz w:val="20"/>
                <w:szCs w:val="20"/>
                <w:lang w:val="en-GB" w:eastAsia="de-DE"/>
              </w:rPr>
              <w:t>dBm</w:t>
            </w:r>
            <w:proofErr w:type="spellEnd"/>
            <w:r w:rsidRPr="00B848EE">
              <w:rPr>
                <w:i/>
                <w:sz w:val="20"/>
                <w:szCs w:val="20"/>
                <w:lang w:val="en-GB" w:eastAsia="de-DE"/>
              </w:rPr>
              <w:t xml:space="preserve"> ≤ Output power ≤10 </w:t>
            </w:r>
            <w:proofErr w:type="spellStart"/>
            <w:r w:rsidRPr="00B848EE">
              <w:rPr>
                <w:i/>
                <w:sz w:val="20"/>
                <w:szCs w:val="20"/>
                <w:lang w:val="en-GB" w:eastAsia="de-DE"/>
              </w:rPr>
              <w:t>dBm</w:t>
            </w:r>
            <w:proofErr w:type="spellEnd"/>
          </w:p>
        </w:tc>
        <w:tc>
          <w:tcPr>
            <w:tcW w:w="1682" w:type="dxa"/>
            <w:vMerge/>
            <w:tcBorders>
              <w:top w:val="single" w:sz="4" w:space="0" w:color="auto"/>
              <w:left w:val="single" w:sz="4" w:space="0" w:color="auto"/>
              <w:right w:val="single" w:sz="4" w:space="0" w:color="auto"/>
            </w:tcBorders>
            <w:vAlign w:val="center"/>
          </w:tcPr>
          <w:p w14:paraId="284F6DFF"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6EADF5DC" w14:textId="77777777" w:rsidTr="00A874ED">
        <w:trPr>
          <w:trHeight w:val="206"/>
          <w:jc w:val="center"/>
        </w:trPr>
        <w:tc>
          <w:tcPr>
            <w:tcW w:w="1205" w:type="dxa"/>
            <w:vMerge/>
            <w:tcBorders>
              <w:right w:val="single" w:sz="4" w:space="0" w:color="auto"/>
            </w:tcBorders>
            <w:shd w:val="clear" w:color="auto" w:fill="auto"/>
            <w:vAlign w:val="center"/>
          </w:tcPr>
          <w:p w14:paraId="2891DC2A"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7EB80960"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754CAB12"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-20</w:t>
            </w:r>
          </w:p>
        </w:tc>
        <w:tc>
          <w:tcPr>
            <w:tcW w:w="4155" w:type="dxa"/>
            <w:tcBorders>
              <w:left w:val="single" w:sz="4" w:space="0" w:color="auto"/>
              <w:right w:val="single" w:sz="4" w:space="0" w:color="auto"/>
            </w:tcBorders>
            <w:shd w:val="clear" w:color="auto" w:fill="auto"/>
            <w:vAlign w:val="center"/>
          </w:tcPr>
          <w:p w14:paraId="194BD3D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-30 </w:t>
            </w:r>
            <w:proofErr w:type="spellStart"/>
            <w:r w:rsidRPr="00B848EE">
              <w:rPr>
                <w:i/>
                <w:sz w:val="20"/>
                <w:szCs w:val="20"/>
                <w:lang w:val="en-GB" w:eastAsia="de-DE"/>
              </w:rPr>
              <w:t>dBm</w:t>
            </w:r>
            <w:proofErr w:type="spellEnd"/>
            <w:r w:rsidRPr="00B848EE">
              <w:rPr>
                <w:i/>
                <w:sz w:val="20"/>
                <w:szCs w:val="20"/>
                <w:lang w:val="en-GB" w:eastAsia="de-DE"/>
              </w:rPr>
              <w:t xml:space="preserve"> ≤ Output power ≤ 0 </w:t>
            </w:r>
            <w:proofErr w:type="spellStart"/>
            <w:r w:rsidRPr="00B848EE">
              <w:rPr>
                <w:i/>
                <w:sz w:val="20"/>
                <w:szCs w:val="20"/>
                <w:lang w:val="en-GB" w:eastAsia="de-DE"/>
              </w:rPr>
              <w:t>dBm</w:t>
            </w:r>
            <w:proofErr w:type="spellEnd"/>
          </w:p>
        </w:tc>
        <w:tc>
          <w:tcPr>
            <w:tcW w:w="1682" w:type="dxa"/>
            <w:vMerge/>
            <w:tcBorders>
              <w:left w:val="single" w:sz="4" w:space="0" w:color="auto"/>
              <w:right w:val="single" w:sz="4" w:space="0" w:color="auto"/>
            </w:tcBorders>
            <w:vAlign w:val="center"/>
          </w:tcPr>
          <w:p w14:paraId="0D0AB427"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3899A38C" w14:textId="77777777" w:rsidTr="00A874ED">
        <w:trPr>
          <w:trHeight w:val="206"/>
          <w:jc w:val="center"/>
        </w:trPr>
        <w:tc>
          <w:tcPr>
            <w:tcW w:w="1205" w:type="dxa"/>
            <w:vMerge/>
            <w:tcBorders>
              <w:right w:val="single" w:sz="4" w:space="0" w:color="auto"/>
            </w:tcBorders>
            <w:shd w:val="clear" w:color="auto" w:fill="auto"/>
            <w:vAlign w:val="center"/>
          </w:tcPr>
          <w:p w14:paraId="22BDF3E2" w14:textId="77777777" w:rsidR="00B848EE" w:rsidRPr="00B848EE" w:rsidRDefault="00B848EE" w:rsidP="00B848EE">
            <w:pPr>
              <w:shd w:val="clear" w:color="auto" w:fill="E7E6E6"/>
              <w:spacing w:after="180" w:line="240" w:lineRule="auto"/>
              <w:rPr>
                <w:i/>
                <w:sz w:val="20"/>
                <w:szCs w:val="20"/>
                <w:lang w:val="en-GB" w:eastAsia="de-DE"/>
              </w:rPr>
            </w:pPr>
          </w:p>
        </w:tc>
        <w:tc>
          <w:tcPr>
            <w:tcW w:w="1293" w:type="dxa"/>
            <w:vMerge/>
            <w:tcBorders>
              <w:left w:val="single" w:sz="4" w:space="0" w:color="auto"/>
              <w:right w:val="single" w:sz="4" w:space="0" w:color="auto"/>
            </w:tcBorders>
            <w:vAlign w:val="center"/>
          </w:tcPr>
          <w:p w14:paraId="6C41DB6C" w14:textId="77777777" w:rsidR="00B848EE" w:rsidRPr="00B848EE" w:rsidRDefault="00B848EE" w:rsidP="00B848EE">
            <w:pPr>
              <w:shd w:val="clear" w:color="auto" w:fill="E7E6E6"/>
              <w:spacing w:after="180" w:line="240" w:lineRule="auto"/>
              <w:rPr>
                <w:i/>
                <w:sz w:val="20"/>
                <w:szCs w:val="20"/>
                <w:lang w:val="en-GB" w:eastAsia="de-DE"/>
              </w:rPr>
            </w:pPr>
          </w:p>
        </w:tc>
        <w:tc>
          <w:tcPr>
            <w:tcW w:w="1265" w:type="dxa"/>
            <w:tcBorders>
              <w:top w:val="single" w:sz="4" w:space="0" w:color="auto"/>
              <w:left w:val="single" w:sz="4" w:space="0" w:color="auto"/>
              <w:right w:val="single" w:sz="4" w:space="0" w:color="auto"/>
            </w:tcBorders>
            <w:vAlign w:val="center"/>
          </w:tcPr>
          <w:p w14:paraId="358BB28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-10</w:t>
            </w:r>
          </w:p>
        </w:tc>
        <w:tc>
          <w:tcPr>
            <w:tcW w:w="4155" w:type="dxa"/>
            <w:tcBorders>
              <w:left w:val="single" w:sz="4" w:space="0" w:color="auto"/>
              <w:right w:val="single" w:sz="4" w:space="0" w:color="auto"/>
            </w:tcBorders>
            <w:shd w:val="clear" w:color="auto" w:fill="auto"/>
            <w:vAlign w:val="center"/>
          </w:tcPr>
          <w:p w14:paraId="4B4C94EC"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 xml:space="preserve">-40 </w:t>
            </w:r>
            <w:proofErr w:type="spellStart"/>
            <w:r w:rsidRPr="00B848EE">
              <w:rPr>
                <w:i/>
                <w:sz w:val="20"/>
                <w:szCs w:val="20"/>
                <w:lang w:val="en-GB" w:eastAsia="de-DE"/>
              </w:rPr>
              <w:t>dBm</w:t>
            </w:r>
            <w:proofErr w:type="spellEnd"/>
            <w:r w:rsidRPr="00B848EE">
              <w:rPr>
                <w:i/>
                <w:sz w:val="20"/>
                <w:szCs w:val="20"/>
                <w:lang w:val="en-GB" w:eastAsia="de-DE"/>
              </w:rPr>
              <w:t xml:space="preserve"> </w:t>
            </w:r>
            <w:r w:rsidRPr="00B848EE">
              <w:rPr>
                <w:i/>
                <w:sz w:val="20"/>
                <w:szCs w:val="20"/>
                <w:lang w:val="en-GB" w:eastAsia="de-DE"/>
              </w:rPr>
              <w:sym w:font="Symbol" w:char="F0A3"/>
            </w:r>
            <w:r w:rsidRPr="00B848EE">
              <w:rPr>
                <w:i/>
                <w:sz w:val="20"/>
                <w:szCs w:val="20"/>
                <w:lang w:val="en-GB" w:eastAsia="de-DE"/>
              </w:rPr>
              <w:t xml:space="preserve"> Output power &lt; -30 </w:t>
            </w:r>
            <w:proofErr w:type="spellStart"/>
            <w:r w:rsidRPr="00B848EE">
              <w:rPr>
                <w:i/>
                <w:sz w:val="20"/>
                <w:szCs w:val="20"/>
                <w:lang w:val="en-GB" w:eastAsia="de-DE"/>
              </w:rPr>
              <w:t>dBm</w:t>
            </w:r>
            <w:proofErr w:type="spellEnd"/>
          </w:p>
        </w:tc>
        <w:tc>
          <w:tcPr>
            <w:tcW w:w="1682" w:type="dxa"/>
            <w:vMerge/>
            <w:tcBorders>
              <w:left w:val="single" w:sz="4" w:space="0" w:color="auto"/>
              <w:right w:val="single" w:sz="4" w:space="0" w:color="auto"/>
            </w:tcBorders>
            <w:vAlign w:val="center"/>
          </w:tcPr>
          <w:p w14:paraId="53F9FE32" w14:textId="77777777" w:rsidR="00B848EE" w:rsidRPr="00B848EE" w:rsidRDefault="00B848EE" w:rsidP="00B848EE">
            <w:pPr>
              <w:shd w:val="clear" w:color="auto" w:fill="E7E6E6"/>
              <w:spacing w:after="180" w:line="240" w:lineRule="auto"/>
              <w:rPr>
                <w:i/>
                <w:sz w:val="20"/>
                <w:szCs w:val="20"/>
                <w:lang w:val="en-GB" w:eastAsia="de-DE"/>
              </w:rPr>
            </w:pPr>
          </w:p>
        </w:tc>
      </w:tr>
      <w:tr w:rsidR="00B848EE" w:rsidRPr="00B848EE" w14:paraId="78B340B1" w14:textId="77777777" w:rsidTr="00A874ED">
        <w:trPr>
          <w:trHeight w:val="424"/>
          <w:jc w:val="center"/>
        </w:trPr>
        <w:tc>
          <w:tcPr>
            <w:tcW w:w="9600" w:type="dxa"/>
            <w:gridSpan w:val="5"/>
            <w:tcBorders>
              <w:right w:val="single" w:sz="4" w:space="0" w:color="auto"/>
            </w:tcBorders>
            <w:shd w:val="clear" w:color="auto" w:fill="auto"/>
            <w:vAlign w:val="center"/>
          </w:tcPr>
          <w:p w14:paraId="79241476"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1:</w:t>
            </w:r>
            <w:r w:rsidRPr="00B848EE">
              <w:rPr>
                <w:i/>
                <w:sz w:val="20"/>
                <w:szCs w:val="20"/>
                <w:lang w:val="en-GB" w:eastAsia="de-DE"/>
              </w:rPr>
              <w:tab/>
              <w:t>An in-band emissions combined limit is evaluated in each non-allocated RB. For each such RB, the minimum requirement is calculated as the higher of PRB - 30 dB and the power sum of all limit values (General, IQ Image or Carrier leakage) that apply. PRB is defined in NOTE 10.</w:t>
            </w:r>
          </w:p>
          <w:p w14:paraId="7831F491"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2:</w:t>
            </w:r>
            <w:r w:rsidRPr="00B848EE">
              <w:rPr>
                <w:i/>
                <w:sz w:val="20"/>
                <w:szCs w:val="20"/>
                <w:lang w:val="en-GB" w:eastAsia="de-DE"/>
              </w:rPr>
              <w:tab/>
              <w:t xml:space="preserve">The measurement bandwidth is 1 RB and the limit is expressed as a ratio of measured power in one non-allocated RB to the measured average power per allocated RB, where the averaging is done across all allocated RBs. </w:t>
            </w:r>
          </w:p>
          <w:p w14:paraId="2F8048B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3:</w:t>
            </w:r>
            <w:r w:rsidRPr="00B848EE">
              <w:rPr>
                <w:i/>
                <w:sz w:val="20"/>
                <w:szCs w:val="20"/>
                <w:lang w:val="en-GB" w:eastAsia="de-DE"/>
              </w:rPr>
              <w:tab/>
              <w:t xml:space="preserve">The applicable frequencies for this limit are those that are enclosed in the reflection of the allocated bandwidth, based on symmetry with respect to the carrier leakage frequency, but excluding any allocated RBs. </w:t>
            </w:r>
          </w:p>
          <w:p w14:paraId="6771D5C3"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4:</w:t>
            </w:r>
            <w:r w:rsidRPr="00B848EE">
              <w:rPr>
                <w:i/>
                <w:sz w:val="20"/>
                <w:szCs w:val="20"/>
                <w:lang w:val="en-GB" w:eastAsia="de-DE"/>
              </w:rPr>
              <w:tab/>
              <w:t xml:space="preserve">The measurement bandwidth is 1 RB and the limit is expressed as a ratio of measured power in one non-allocated RB to the measured total power in all allocated RBs. </w:t>
            </w:r>
          </w:p>
          <w:p w14:paraId="152298C5"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5:</w:t>
            </w:r>
            <w:r w:rsidRPr="00B848EE">
              <w:rPr>
                <w:i/>
                <w:sz w:val="20"/>
                <w:szCs w:val="20"/>
                <w:lang w:val="en-GB" w:eastAsia="de-DE"/>
              </w:rPr>
              <w:tab/>
              <w:t xml:space="preserve">The applicable frequencies for this limit are those that are enclosed in the RBs containing the carrier leakage frequency if </w:t>
            </w:r>
            <w:r w:rsidRPr="00B848EE">
              <w:rPr>
                <w:i/>
                <w:sz w:val="20"/>
                <w:szCs w:val="20"/>
                <w:lang w:val="en-GB" w:eastAsia="de-DE"/>
              </w:rPr>
              <w:object w:dxaOrig="440" w:dyaOrig="340" w14:anchorId="32D12E06">
                <v:shape id="_x0000_i1026" type="#_x0000_t75" style="width:21.75pt;height:17.6pt" o:ole="">
                  <v:imagedata r:id="rId10" o:title=""/>
                </v:shape>
                <o:OLEObject Type="Embed" ProgID="Equation.3" ShapeID="_x0000_i1026" DrawAspect="Content" ObjectID="_1626703340" r:id="rId11"/>
              </w:object>
            </w:r>
            <w:r w:rsidRPr="00B848EE">
              <w:rPr>
                <w:i/>
                <w:sz w:val="20"/>
                <w:szCs w:val="20"/>
                <w:lang w:val="en-GB" w:eastAsia="de-DE"/>
              </w:rPr>
              <w:t xml:space="preserve"> is odd, or in the two RBs immediately adjacent to the carrier leakage frequency if </w:t>
            </w:r>
            <w:r w:rsidRPr="00B848EE">
              <w:rPr>
                <w:i/>
                <w:sz w:val="20"/>
                <w:szCs w:val="20"/>
                <w:lang w:val="en-GB" w:eastAsia="de-DE"/>
              </w:rPr>
              <w:object w:dxaOrig="440" w:dyaOrig="340" w14:anchorId="1DDF5C3F">
                <v:shape id="_x0000_i1027" type="#_x0000_t75" style="width:21.75pt;height:17.6pt" o:ole="">
                  <v:imagedata r:id="rId12" o:title=""/>
                </v:shape>
                <o:OLEObject Type="Embed" ProgID="Equation.3" ShapeID="_x0000_i1027" DrawAspect="Content" ObjectID="_1626703341" r:id="rId13"/>
              </w:object>
            </w:r>
            <w:r w:rsidRPr="00B848EE">
              <w:rPr>
                <w:i/>
                <w:sz w:val="20"/>
                <w:szCs w:val="20"/>
                <w:lang w:val="en-GB" w:eastAsia="de-DE"/>
              </w:rPr>
              <w:t xml:space="preserve"> is even but excluding any allocated RB. </w:t>
            </w:r>
          </w:p>
          <w:p w14:paraId="6B4B8BDD"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6:</w:t>
            </w:r>
            <w:r w:rsidRPr="00B848EE">
              <w:rPr>
                <w:i/>
                <w:sz w:val="20"/>
                <w:szCs w:val="20"/>
                <w:lang w:val="en-GB" w:eastAsia="de-DE"/>
              </w:rPr>
              <w:tab/>
            </w:r>
            <w:r w:rsidRPr="00B848EE">
              <w:rPr>
                <w:i/>
                <w:sz w:val="20"/>
                <w:szCs w:val="20"/>
                <w:lang w:val="en-GB" w:eastAsia="de-DE"/>
              </w:rPr>
              <w:object w:dxaOrig="480" w:dyaOrig="360" w14:anchorId="1CE29BFB">
                <v:shape id="_x0000_i1028" type="#_x0000_t75" style="width:25.1pt;height:17.6pt" o:ole="">
                  <v:imagedata r:id="rId14" o:title=""/>
                </v:shape>
                <o:OLEObject Type="Embed" ProgID="Equation.3" ShapeID="_x0000_i1028" DrawAspect="Content" ObjectID="_1626703342" r:id="rId15"/>
              </w:object>
            </w:r>
            <w:r w:rsidRPr="00B848EE">
              <w:rPr>
                <w:i/>
                <w:sz w:val="20"/>
                <w:szCs w:val="20"/>
                <w:lang w:val="en-GB" w:eastAsia="de-DE"/>
              </w:rPr>
              <w:t xml:space="preserve"> is the Transmission Bandwidth (see Figure 5.3.3). </w:t>
            </w:r>
          </w:p>
          <w:p w14:paraId="4C41965E"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7:</w:t>
            </w:r>
            <w:r w:rsidRPr="00B848EE">
              <w:rPr>
                <w:i/>
                <w:sz w:val="20"/>
                <w:szCs w:val="20"/>
                <w:lang w:val="en-GB" w:eastAsia="de-DE"/>
              </w:rPr>
              <w:tab/>
            </w:r>
            <w:r w:rsidRPr="00B848EE">
              <w:rPr>
                <w:i/>
                <w:sz w:val="20"/>
                <w:szCs w:val="20"/>
                <w:lang w:val="en-GB" w:eastAsia="de-DE"/>
              </w:rPr>
              <w:object w:dxaOrig="440" w:dyaOrig="340" w14:anchorId="3C869D69">
                <v:shape id="_x0000_i1029" type="#_x0000_t75" style="width:21.75pt;height:17.6pt" o:ole="">
                  <v:imagedata r:id="rId16" o:title=""/>
                </v:shape>
                <o:OLEObject Type="Embed" ProgID="Equation.3" ShapeID="_x0000_i1029" DrawAspect="Content" ObjectID="_1626703343" r:id="rId17"/>
              </w:object>
            </w:r>
            <w:r w:rsidRPr="00B848EE">
              <w:rPr>
                <w:i/>
                <w:sz w:val="20"/>
                <w:szCs w:val="20"/>
                <w:lang w:val="en-GB" w:eastAsia="de-DE"/>
              </w:rPr>
              <w:t xml:space="preserve"> is the Transmission Bandwidth Configuration (see Figure 5.3.3). </w:t>
            </w:r>
          </w:p>
          <w:p w14:paraId="0B32825F"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8:</w:t>
            </w:r>
            <w:r w:rsidRPr="00B848EE">
              <w:rPr>
                <w:i/>
                <w:sz w:val="20"/>
                <w:szCs w:val="20"/>
                <w:lang w:val="en-GB" w:eastAsia="de-DE"/>
              </w:rPr>
              <w:tab/>
            </w:r>
            <w:r w:rsidRPr="00B848EE">
              <w:rPr>
                <w:i/>
                <w:sz w:val="20"/>
                <w:szCs w:val="20"/>
                <w:lang w:val="en-GB" w:eastAsia="de-DE"/>
              </w:rPr>
              <w:object w:dxaOrig="620" w:dyaOrig="279" w14:anchorId="1351ABF3">
                <v:shape id="_x0000_i1030" type="#_x0000_t75" style="width:31.8pt;height:14.25pt" o:ole="">
                  <v:imagedata r:id="rId18" o:title=""/>
                </v:shape>
                <o:OLEObject Type="Embed" ProgID="Equation.3" ShapeID="_x0000_i1030" DrawAspect="Content" ObjectID="_1626703344" r:id="rId19"/>
              </w:object>
            </w:r>
            <w:r w:rsidRPr="00B848EE">
              <w:rPr>
                <w:i/>
                <w:sz w:val="20"/>
                <w:szCs w:val="20"/>
                <w:lang w:val="en-GB" w:eastAsia="de-DE"/>
              </w:rPr>
              <w:t xml:space="preserve"> is the limit specified in Table 6.4.2.1-1 for the modulation format used in the allocated RBs. </w:t>
            </w:r>
          </w:p>
          <w:p w14:paraId="2BC0316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9:</w:t>
            </w:r>
            <w:r w:rsidRPr="00B848EE">
              <w:rPr>
                <w:i/>
                <w:sz w:val="20"/>
                <w:szCs w:val="20"/>
                <w:lang w:val="en-GB" w:eastAsia="de-DE"/>
              </w:rPr>
              <w:tab/>
            </w:r>
            <w:r w:rsidRPr="00B848EE">
              <w:rPr>
                <w:i/>
                <w:sz w:val="20"/>
                <w:szCs w:val="20"/>
                <w:lang w:val="en-GB" w:eastAsia="de-DE"/>
              </w:rPr>
              <w:object w:dxaOrig="400" w:dyaOrig="300" w14:anchorId="3F3E44D9">
                <v:shape id="_x0000_i1031" type="#_x0000_t75" style="width:20.1pt;height:15.05pt" o:ole="">
                  <v:imagedata r:id="rId20" o:title=""/>
                </v:shape>
                <o:OLEObject Type="Embed" ProgID="Equation.3" ShapeID="_x0000_i1031" DrawAspect="Content" ObjectID="_1626703345" r:id="rId21"/>
              </w:object>
            </w:r>
            <w:r w:rsidRPr="00B848EE">
              <w:rPr>
                <w:i/>
                <w:sz w:val="20"/>
                <w:szCs w:val="20"/>
                <w:lang w:val="en-GB" w:eastAsia="de-DE"/>
              </w:rPr>
              <w:t xml:space="preserve"> is the starting frequency offset between the allocated RB and the measured non-allocated RB (e.g. </w:t>
            </w:r>
            <w:r w:rsidRPr="00B848EE">
              <w:rPr>
                <w:i/>
                <w:sz w:val="20"/>
                <w:szCs w:val="20"/>
                <w:lang w:val="en-GB" w:eastAsia="de-DE"/>
              </w:rPr>
              <w:object w:dxaOrig="760" w:dyaOrig="340" w14:anchorId="52E3FBD1">
                <v:shape id="_x0000_i1032" type="#_x0000_t75" style="width:39.35pt;height:17.6pt" o:ole="">
                  <v:imagedata r:id="rId22" o:title=""/>
                </v:shape>
                <o:OLEObject Type="Embed" ProgID="Equation.3" ShapeID="_x0000_i1032" DrawAspect="Content" ObjectID="_1626703346" r:id="rId23"/>
              </w:object>
            </w:r>
            <w:r w:rsidRPr="00B848EE">
              <w:rPr>
                <w:i/>
                <w:sz w:val="20"/>
                <w:szCs w:val="20"/>
                <w:lang w:val="en-GB" w:eastAsia="de-DE"/>
              </w:rPr>
              <w:t xml:space="preserve"> or </w:t>
            </w:r>
            <w:r w:rsidRPr="00B848EE">
              <w:rPr>
                <w:i/>
                <w:sz w:val="20"/>
                <w:szCs w:val="20"/>
                <w:lang w:val="en-GB" w:eastAsia="de-DE"/>
              </w:rPr>
              <w:object w:dxaOrig="920" w:dyaOrig="340" w14:anchorId="0F40699B">
                <v:shape id="_x0000_i1033" type="#_x0000_t75" style="width:45.2pt;height:17.6pt" o:ole="">
                  <v:imagedata r:id="rId24" o:title=""/>
                </v:shape>
                <o:OLEObject Type="Embed" ProgID="Equation.3" ShapeID="_x0000_i1033" DrawAspect="Content" ObjectID="_1626703347" r:id="rId25"/>
              </w:object>
            </w:r>
            <w:r w:rsidRPr="00B848EE">
              <w:rPr>
                <w:i/>
                <w:sz w:val="20"/>
                <w:szCs w:val="20"/>
                <w:lang w:val="en-GB" w:eastAsia="de-DE"/>
              </w:rPr>
              <w:t xml:space="preserve"> for the first adjacent RB outside of the allocated bandwidth. </w:t>
            </w:r>
          </w:p>
          <w:p w14:paraId="073433C8" w14:textId="77777777" w:rsidR="00B848EE" w:rsidRPr="00B848EE" w:rsidRDefault="00B848EE" w:rsidP="00B848EE">
            <w:pPr>
              <w:shd w:val="clear" w:color="auto" w:fill="E7E6E6"/>
              <w:spacing w:after="180" w:line="240" w:lineRule="auto"/>
              <w:rPr>
                <w:i/>
                <w:sz w:val="20"/>
                <w:szCs w:val="20"/>
                <w:lang w:val="en-GB" w:eastAsia="de-DE"/>
              </w:rPr>
            </w:pPr>
            <w:r w:rsidRPr="00B848EE">
              <w:rPr>
                <w:i/>
                <w:sz w:val="20"/>
                <w:szCs w:val="20"/>
                <w:lang w:val="en-GB" w:eastAsia="de-DE"/>
              </w:rPr>
              <w:t>NOTE 10:</w:t>
            </w:r>
            <w:r w:rsidRPr="00B848EE">
              <w:rPr>
                <w:i/>
                <w:sz w:val="20"/>
                <w:szCs w:val="20"/>
                <w:lang w:val="en-GB" w:eastAsia="de-DE"/>
              </w:rPr>
              <w:tab/>
            </w:r>
            <w:r w:rsidRPr="00B848EE">
              <w:rPr>
                <w:i/>
                <w:sz w:val="20"/>
                <w:szCs w:val="20"/>
                <w:lang w:val="en-GB" w:eastAsia="de-DE"/>
              </w:rPr>
              <w:object w:dxaOrig="380" w:dyaOrig="340" w14:anchorId="35200945">
                <v:shape id="_x0000_i1034" type="#_x0000_t75" style="width:17.6pt;height:17.6pt" o:ole="">
                  <v:imagedata r:id="rId26" o:title=""/>
                </v:shape>
                <o:OLEObject Type="Embed" ProgID="Equation.3" ShapeID="_x0000_i1034" DrawAspect="Content" ObjectID="_1626703348" r:id="rId27"/>
              </w:object>
            </w:r>
            <w:r w:rsidRPr="00B848EE">
              <w:rPr>
                <w:i/>
                <w:sz w:val="20"/>
                <w:szCs w:val="20"/>
                <w:lang w:val="en-GB" w:eastAsia="de-DE"/>
              </w:rPr>
              <w:t xml:space="preserve"> is the transmitted power normalized by the number of allocated RBs, measured in </w:t>
            </w:r>
            <w:proofErr w:type="spellStart"/>
            <w:r w:rsidRPr="00B848EE">
              <w:rPr>
                <w:i/>
                <w:sz w:val="20"/>
                <w:szCs w:val="20"/>
                <w:lang w:val="en-GB" w:eastAsia="de-DE"/>
              </w:rPr>
              <w:t>dBm</w:t>
            </w:r>
            <w:proofErr w:type="spellEnd"/>
            <w:r w:rsidRPr="00B848EE">
              <w:rPr>
                <w:i/>
                <w:sz w:val="20"/>
                <w:szCs w:val="20"/>
                <w:lang w:val="en-GB" w:eastAsia="de-DE"/>
              </w:rPr>
              <w:t>.</w:t>
            </w:r>
          </w:p>
        </w:tc>
      </w:tr>
    </w:tbl>
    <w:bookmarkEnd w:id="2"/>
    <w:bookmarkEnd w:id="3"/>
    <w:p w14:paraId="74D1CA13" w14:textId="76F0E1D6" w:rsidR="00E446E8" w:rsidRDefault="005A09F0" w:rsidP="005A09F0">
      <w:pPr>
        <w:pStyle w:val="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33AD1AD3" w:rsidR="005A09F0" w:rsidRPr="005A09F0" w:rsidRDefault="005A09F0" w:rsidP="005A09F0">
      <w:pPr>
        <w:rPr>
          <w:lang w:eastAsia="en-US"/>
        </w:rPr>
      </w:pPr>
      <w:r>
        <w:rPr>
          <w:lang w:eastAsia="en-US"/>
        </w:rPr>
        <w:t xml:space="preserve">In LTE,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tested under extreme conditions. However, since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not</w:t>
      </w:r>
      <w:r w:rsidR="00D112F2">
        <w:rPr>
          <w:lang w:eastAsia="en-US"/>
        </w:rPr>
        <w:t xml:space="preserve"> expected to vary with temperature or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19670FF5"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B848EE">
        <w:rPr>
          <w:lang w:eastAsia="en-US"/>
        </w:rPr>
        <w:t>In-band Emissions</w:t>
      </w:r>
      <w:r w:rsidR="005A09F0">
        <w:rPr>
          <w:lang w:eastAsia="en-US"/>
        </w:rPr>
        <w:t xml:space="preserve"> in FR1.</w:t>
      </w:r>
    </w:p>
    <w:p w14:paraId="35974FED" w14:textId="7C5D4E86" w:rsidR="005A09F0" w:rsidRDefault="005A09F0" w:rsidP="005A09F0">
      <w:pPr>
        <w:pStyle w:val="2"/>
        <w:rPr>
          <w:rFonts w:cs="Arial"/>
          <w:lang w:val="en-US"/>
        </w:rPr>
      </w:pPr>
      <w:r w:rsidRPr="005A09F0">
        <w:rPr>
          <w:rFonts w:cs="Arial"/>
          <w:lang w:val="en-US"/>
        </w:rPr>
        <w:lastRenderedPageBreak/>
        <w:t xml:space="preserve">Test </w:t>
      </w:r>
      <w:r>
        <w:rPr>
          <w:rFonts w:cs="Arial"/>
          <w:lang w:val="en-US"/>
        </w:rPr>
        <w:t>Subcarrier Spacing</w:t>
      </w:r>
    </w:p>
    <w:p w14:paraId="0BFF3AF0" w14:textId="363EFB5B" w:rsidR="00725DCB" w:rsidRDefault="00B848EE" w:rsidP="00DF443F">
      <w:pPr>
        <w:jc w:val="both"/>
        <w:rPr>
          <w:lang w:eastAsia="en-US"/>
        </w:rPr>
      </w:pPr>
      <w:r>
        <w:rPr>
          <w:lang w:eastAsia="en-US"/>
        </w:rPr>
        <w:t>I</w:t>
      </w:r>
      <w:r w:rsidR="00725DCB">
        <w:rPr>
          <w:lang w:eastAsia="en-US"/>
        </w:rPr>
        <w:t xml:space="preserve">t is not expected that </w:t>
      </w:r>
      <w:r>
        <w:rPr>
          <w:lang w:eastAsia="en-US"/>
        </w:rPr>
        <w:t>in-band emissions</w:t>
      </w:r>
      <w:r w:rsidR="00725DCB">
        <w:rPr>
          <w:lang w:eastAsia="en-US"/>
        </w:rPr>
        <w:t xml:space="preserve"> d</w:t>
      </w:r>
      <w:r>
        <w:rPr>
          <w:lang w:eastAsia="en-US"/>
        </w:rPr>
        <w:t>epend</w:t>
      </w:r>
      <w:r w:rsidR="00725DCB">
        <w:rPr>
          <w:lang w:eastAsia="en-US"/>
        </w:rPr>
        <w:t xml:space="preserve"> on the choice of subcarrier spacing.</w:t>
      </w:r>
      <w:r w:rsidR="00505AB4">
        <w:rPr>
          <w:lang w:eastAsia="en-US"/>
        </w:rPr>
        <w:t xml:space="preserve"> Smalles</w:t>
      </w:r>
      <w:r w:rsidR="00B77611">
        <w:rPr>
          <w:lang w:eastAsia="en-US"/>
        </w:rPr>
        <w:t>t</w:t>
      </w:r>
      <w:r w:rsidR="00505AB4">
        <w:rPr>
          <w:lang w:eastAsia="en-US"/>
        </w:rPr>
        <w:t xml:space="preserve"> SCS is selected since it is the most common one.</w:t>
      </w:r>
    </w:p>
    <w:p w14:paraId="2397B002" w14:textId="60BCDBAA"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B848EE">
        <w:rPr>
          <w:lang w:eastAsia="en-US"/>
        </w:rPr>
        <w:t>In-band Emissions</w:t>
      </w:r>
      <w:r w:rsidR="00725DCB">
        <w:rPr>
          <w:lang w:eastAsia="en-US"/>
        </w:rPr>
        <w:t xml:space="preserve"> i</w:t>
      </w:r>
      <w:r>
        <w:rPr>
          <w:lang w:eastAsia="en-US"/>
        </w:rPr>
        <w:t>n FR1.</w:t>
      </w:r>
    </w:p>
    <w:p w14:paraId="3DFE7B5C" w14:textId="31914B70" w:rsidR="00EA76CE" w:rsidRDefault="00EA76CE" w:rsidP="00EA76CE">
      <w:pPr>
        <w:pStyle w:val="2"/>
        <w:rPr>
          <w:rFonts w:cs="Arial"/>
          <w:lang w:val="en-US"/>
        </w:rPr>
      </w:pPr>
      <w:r w:rsidRPr="005A09F0">
        <w:rPr>
          <w:rFonts w:cs="Arial"/>
          <w:lang w:val="en-US"/>
        </w:rPr>
        <w:t xml:space="preserve">Test </w:t>
      </w:r>
      <w:r>
        <w:rPr>
          <w:rFonts w:cs="Arial"/>
          <w:lang w:val="en-US"/>
        </w:rPr>
        <w:t>Frequencies</w:t>
      </w:r>
    </w:p>
    <w:p w14:paraId="1FB5C397" w14:textId="70EB3883" w:rsidR="00EA76CE" w:rsidRDefault="00EA76CE" w:rsidP="00EA76CE">
      <w:pPr>
        <w:jc w:val="both"/>
        <w:rPr>
          <w:lang w:eastAsia="en-US"/>
        </w:rPr>
      </w:pPr>
      <w:r>
        <w:rPr>
          <w:lang w:eastAsia="en-US"/>
        </w:rPr>
        <w:t xml:space="preserve">In LTE, </w:t>
      </w:r>
      <w:r w:rsidR="00B848EE">
        <w:rPr>
          <w:lang w:eastAsia="en-US"/>
        </w:rPr>
        <w:t>In-band Emissions</w:t>
      </w:r>
      <w:r>
        <w:rPr>
          <w:lang w:eastAsia="en-US"/>
        </w:rPr>
        <w:t xml:space="preserve"> </w:t>
      </w:r>
      <w:r w:rsidR="00B848EE">
        <w:rPr>
          <w:lang w:eastAsia="en-US"/>
        </w:rPr>
        <w:t>are</w:t>
      </w:r>
      <w:r>
        <w:rPr>
          <w:lang w:eastAsia="en-US"/>
        </w:rPr>
        <w:t xml:space="preserve"> tested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B848EE">
        <w:rPr>
          <w:lang w:eastAsia="en-US"/>
        </w:rPr>
        <w:t xml:space="preserve">Due to the presence of filters in the FR1 UEs it is reasonable to follow the LTE approach for NR. </w:t>
      </w:r>
    </w:p>
    <w:p w14:paraId="5BDBD1A9" w14:textId="7E42E0AA"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w:t>
      </w:r>
      <w:proofErr w:type="spellStart"/>
      <w:proofErr w:type="gramStart"/>
      <w:r>
        <w:rPr>
          <w:lang w:eastAsia="en-US"/>
        </w:rPr>
        <w:t>Mid</w:t>
      </w:r>
      <w:proofErr w:type="gramEnd"/>
      <w:r>
        <w:rPr>
          <w:lang w:eastAsia="en-US"/>
        </w:rPr>
        <w:t xml:space="preserve"> range</w:t>
      </w:r>
      <w:proofErr w:type="spellEnd"/>
      <w:r>
        <w:rPr>
          <w:lang w:eastAsia="en-US"/>
        </w:rPr>
        <w:t xml:space="preserve">, and High range </w:t>
      </w:r>
      <w:r w:rsidR="00A802ED">
        <w:rPr>
          <w:lang w:eastAsia="en-US"/>
        </w:rPr>
        <w:t xml:space="preserve">frequencies </w:t>
      </w:r>
      <w:r>
        <w:rPr>
          <w:lang w:eastAsia="en-US"/>
        </w:rPr>
        <w:t>in FR1.</w:t>
      </w:r>
    </w:p>
    <w:p w14:paraId="6D975B84" w14:textId="5EAD4D18" w:rsidR="00EA76CE" w:rsidRDefault="00EA76CE" w:rsidP="00EA76CE">
      <w:pPr>
        <w:pStyle w:val="2"/>
        <w:rPr>
          <w:rFonts w:cs="Arial"/>
          <w:lang w:val="en-US"/>
        </w:rPr>
      </w:pPr>
      <w:r w:rsidRPr="005A09F0">
        <w:rPr>
          <w:rFonts w:cs="Arial"/>
          <w:lang w:val="en-US"/>
        </w:rPr>
        <w:t xml:space="preserve">Test </w:t>
      </w:r>
      <w:r>
        <w:rPr>
          <w:rFonts w:cs="Arial"/>
          <w:lang w:val="en-US"/>
        </w:rPr>
        <w:t>Channel Bandwidth</w:t>
      </w:r>
    </w:p>
    <w:p w14:paraId="3722B954" w14:textId="4BCC930A" w:rsidR="00EA76CE" w:rsidRPr="003B026C" w:rsidRDefault="00EA76CE" w:rsidP="00B848EE">
      <w:pPr>
        <w:jc w:val="both"/>
        <w:rPr>
          <w:lang w:eastAsia="en-US"/>
        </w:rPr>
      </w:pPr>
      <w:bookmarkStart w:id="4" w:name="_Hlk506571898"/>
      <w:r w:rsidRPr="00F75E9F">
        <w:rPr>
          <w:lang w:eastAsia="ja-JP"/>
        </w:rPr>
        <w:t xml:space="preserve">In LTE, </w:t>
      </w:r>
      <w:r w:rsidR="00B848EE">
        <w:t>In-band Emissions</w:t>
      </w:r>
      <w:r>
        <w:t xml:space="preserve"> </w:t>
      </w:r>
      <w:r w:rsidR="00B848EE">
        <w:rPr>
          <w:lang w:eastAsia="ja-JP"/>
        </w:rPr>
        <w:t>are</w:t>
      </w:r>
      <w:r>
        <w:rPr>
          <w:lang w:eastAsia="ja-JP"/>
        </w:rPr>
        <w:t xml:space="preserve"> tested for Lowest, 5 MHz and Highest channel bandwidths. </w:t>
      </w:r>
      <w:r w:rsidR="00B848EE">
        <w:rPr>
          <w:lang w:eastAsia="en-US"/>
        </w:rPr>
        <w:t xml:space="preserve">Due to the presence of filters in the FR1 UEs it is reasonable to follow the LTE approach for NR. </w:t>
      </w:r>
    </w:p>
    <w:bookmarkEnd w:id="4"/>
    <w:p w14:paraId="5FC9166E" w14:textId="20750940"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B848EE">
        <w:rPr>
          <w:lang w:eastAsia="en-US"/>
        </w:rPr>
        <w:t>In-band Emissions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FR1.</w:t>
      </w:r>
    </w:p>
    <w:p w14:paraId="2696C75C" w14:textId="295BF54E" w:rsidR="009B3EA0" w:rsidRDefault="00725DCB" w:rsidP="009B3EA0">
      <w:pPr>
        <w:pStyle w:val="2"/>
        <w:rPr>
          <w:rFonts w:cs="Arial"/>
          <w:lang w:val="en-US"/>
        </w:rPr>
      </w:pPr>
      <w:r>
        <w:rPr>
          <w:rFonts w:cs="Arial"/>
          <w:lang w:val="en-US"/>
        </w:rPr>
        <w:t>Test Modulations and waveforms</w:t>
      </w:r>
    </w:p>
    <w:p w14:paraId="64905ABF" w14:textId="28899405" w:rsidR="00A34221" w:rsidRPr="003B026C" w:rsidRDefault="00725DCB" w:rsidP="009B3EA0">
      <w:pPr>
        <w:rPr>
          <w:lang w:eastAsia="en-US"/>
        </w:rPr>
      </w:pPr>
      <w:r>
        <w:rPr>
          <w:lang w:eastAsia="en-US"/>
        </w:rPr>
        <w:t xml:space="preserve">In LTE </w:t>
      </w:r>
      <w:r w:rsidR="00B848EE">
        <w:rPr>
          <w:lang w:eastAsia="en-US"/>
        </w:rPr>
        <w:t>In-band Emissions are</w:t>
      </w:r>
      <w:r>
        <w:rPr>
          <w:lang w:eastAsia="en-US"/>
        </w:rPr>
        <w:t xml:space="preserve"> tested for test points without MPR. Therefore, DFT-s-OFDM QPSK should be selected as modulation and waveform as it does not have any MPR.</w:t>
      </w:r>
      <w:r w:rsidR="00A34221">
        <w:rPr>
          <w:lang w:eastAsia="en-US"/>
        </w:rPr>
        <w:br/>
        <w:t>Moreover, CP OFDM has a high</w:t>
      </w:r>
      <w:r w:rsidR="00AE1EDA">
        <w:rPr>
          <w:lang w:eastAsia="en-US"/>
        </w:rPr>
        <w:t>er</w:t>
      </w:r>
      <w:r w:rsidR="00A34221">
        <w:rPr>
          <w:lang w:eastAsia="en-US"/>
        </w:rPr>
        <w:t xml:space="preserve"> CREST factor than DFT-s-OFDM and may result in higher in-band emissions although an MPR is applied. Therefore, both modulations should be tested.</w:t>
      </w:r>
    </w:p>
    <w:p w14:paraId="38FA06E7" w14:textId="77777777" w:rsidR="00A34221" w:rsidRDefault="00A34221" w:rsidP="00A34221">
      <w:pPr>
        <w:rPr>
          <w:lang w:eastAsia="en-US"/>
        </w:rPr>
      </w:pPr>
      <w:r w:rsidRPr="003B026C">
        <w:rPr>
          <w:b/>
          <w:lang w:eastAsia="en-US"/>
        </w:rPr>
        <w:t>Proposal 5:</w:t>
      </w:r>
      <w:r w:rsidRPr="003B026C">
        <w:rPr>
          <w:lang w:eastAsia="en-US"/>
        </w:rPr>
        <w:t xml:space="preserve"> Test </w:t>
      </w:r>
      <w:r>
        <w:rPr>
          <w:lang w:eastAsia="en-US"/>
        </w:rPr>
        <w:t>In-band Emissions with DFT-s-OFDM QPSK and CP-OFDM QPSK.</w:t>
      </w:r>
    </w:p>
    <w:p w14:paraId="5B109628" w14:textId="5C43D52B" w:rsidR="009B3EA0" w:rsidRPr="003B026C" w:rsidRDefault="00EE51FD" w:rsidP="009B3EA0">
      <w:pPr>
        <w:pStyle w:val="2"/>
        <w:rPr>
          <w:rFonts w:cs="Arial"/>
          <w:lang w:val="en-US"/>
        </w:rPr>
      </w:pPr>
      <w:r>
        <w:rPr>
          <w:rFonts w:cs="Arial"/>
          <w:lang w:val="en-US"/>
        </w:rPr>
        <w:t>RB allocation</w:t>
      </w:r>
    </w:p>
    <w:p w14:paraId="2834F8D9" w14:textId="662674A2" w:rsidR="00062ECE" w:rsidRDefault="009B3EA0" w:rsidP="009B3EA0">
      <w:pPr>
        <w:rPr>
          <w:lang w:eastAsia="en-US"/>
        </w:rPr>
      </w:pPr>
      <w:r w:rsidRPr="003B026C">
        <w:rPr>
          <w:lang w:eastAsia="en-US"/>
        </w:rPr>
        <w:t xml:space="preserve">In LTE, </w:t>
      </w:r>
      <w:r w:rsidR="00B848EE">
        <w:rPr>
          <w:lang w:eastAsia="en-US"/>
        </w:rPr>
        <w:t>In-band Emissions are</w:t>
      </w:r>
      <w:r w:rsidR="00725DCB">
        <w:rPr>
          <w:lang w:eastAsia="en-US"/>
        </w:rPr>
        <w:t xml:space="preserve"> tested with highest allocation without MPR where the partial allocation is located on the lower and upper channel edge. </w:t>
      </w:r>
      <w:r w:rsidR="00B848EE">
        <w:rPr>
          <w:lang w:eastAsia="en-US"/>
        </w:rPr>
        <w:t xml:space="preserve">In order to achieve a reasonable MU for the large channel bandwidths of NR, a low allocation is beneficial. </w:t>
      </w:r>
      <w:r w:rsidR="00062ECE">
        <w:rPr>
          <w:lang w:eastAsia="en-US"/>
        </w:rPr>
        <w:t>Taking this into account the natural choice</w:t>
      </w:r>
      <w:r w:rsidR="00EE51FD">
        <w:rPr>
          <w:lang w:eastAsia="en-US"/>
        </w:rPr>
        <w:t>s</w:t>
      </w:r>
      <w:r w:rsidR="00062ECE">
        <w:rPr>
          <w:lang w:eastAsia="en-US"/>
        </w:rPr>
        <w:t xml:space="preserve"> are Inner_1RB_Left or Inner_1RB_Right as they keep the allocation to a minimum while having no MPR. </w:t>
      </w:r>
    </w:p>
    <w:p w14:paraId="65CD22ED" w14:textId="5F768B65" w:rsidR="009B3EA0" w:rsidRPr="003B026C" w:rsidRDefault="009B3EA0" w:rsidP="009B3EA0">
      <w:pPr>
        <w:rPr>
          <w:lang w:eastAsia="en-US"/>
        </w:rPr>
      </w:pPr>
      <w:r w:rsidRPr="003B026C">
        <w:rPr>
          <w:b/>
          <w:lang w:eastAsia="en-US"/>
        </w:rPr>
        <w:t>Proposal 6</w:t>
      </w:r>
      <w:r w:rsidRPr="003B026C">
        <w:rPr>
          <w:lang w:eastAsia="en-US"/>
        </w:rPr>
        <w:t xml:space="preserve">: Test </w:t>
      </w:r>
      <w:r w:rsidR="00B848EE">
        <w:rPr>
          <w:lang w:eastAsia="en-US"/>
        </w:rPr>
        <w:t xml:space="preserve">In-band Emissions with Inner_1RB_Left and </w:t>
      </w:r>
      <w:r w:rsidR="00062ECE">
        <w:rPr>
          <w:lang w:eastAsia="en-US"/>
        </w:rPr>
        <w:t xml:space="preserve">Inner_1RB_Right. </w:t>
      </w:r>
    </w:p>
    <w:p w14:paraId="1E784374" w14:textId="1121FF06" w:rsidR="00361FB2" w:rsidRPr="006A49D5" w:rsidRDefault="00361FB2" w:rsidP="00361FB2">
      <w:pPr>
        <w:pStyle w:val="2"/>
      </w:pPr>
      <w:r>
        <w:rPr>
          <w:lang w:eastAsia="zh-CN"/>
        </w:rPr>
        <w:t xml:space="preserve">Exceptions </w:t>
      </w:r>
      <w:r w:rsidRPr="00FA6140">
        <w:rPr>
          <w:rFonts w:hint="eastAsia"/>
          <w:lang w:eastAsia="zh-CN"/>
        </w:rPr>
        <w:t xml:space="preserve">for </w:t>
      </w:r>
      <w:r>
        <w:rPr>
          <w:lang w:eastAsia="zh-CN"/>
        </w:rPr>
        <w:t>In-band emission</w:t>
      </w:r>
      <w:r>
        <w:rPr>
          <w:lang w:eastAsia="zh-CN"/>
        </w:rPr>
        <w:t xml:space="preserve"> </w:t>
      </w:r>
      <w:r w:rsidRPr="00FA6140">
        <w:rPr>
          <w:rFonts w:hint="eastAsia"/>
          <w:lang w:eastAsia="zh-CN"/>
        </w:rPr>
        <w:t>UL-MIMO test</w:t>
      </w:r>
    </w:p>
    <w:p w14:paraId="06C089FE" w14:textId="7BE4BC9A" w:rsidR="00361FB2" w:rsidRDefault="00361FB2" w:rsidP="00361FB2">
      <w:r>
        <w:t xml:space="preserve">The requirements of </w:t>
      </w:r>
      <w:r>
        <w:t>In-band emission</w:t>
      </w:r>
      <w:r>
        <w:t xml:space="preserve"> for UL-MIMO are in a quite similar way of single antenna In-band emission test case 6.4.2.</w:t>
      </w:r>
      <w:r>
        <w:t>3</w:t>
      </w:r>
      <w:r>
        <w:t>, therefor</w:t>
      </w:r>
      <w:r>
        <w:t>e</w:t>
      </w:r>
      <w:r>
        <w:t xml:space="preserve"> the test point selection in proposal 1~4 and 6 can be reused without any change.</w:t>
      </w:r>
    </w:p>
    <w:p w14:paraId="237A8860" w14:textId="71D0E3EF" w:rsidR="00361FB2" w:rsidRDefault="00361FB2" w:rsidP="00361FB2">
      <w:r>
        <w:t>However according to [4</w:t>
      </w:r>
      <w:r w:rsidRPr="00FA6140">
        <w:t xml:space="preserve">], CP-OFDM </w:t>
      </w:r>
      <w:r w:rsidRPr="00FA6140">
        <w:rPr>
          <w:rFonts w:hint="eastAsia"/>
        </w:rPr>
        <w:t>is</w:t>
      </w:r>
      <w:r w:rsidRPr="00FA6140">
        <w:t xml:space="preserve"> mandatory in case UL-MIMO transmission with two layer data, </w:t>
      </w:r>
      <w:r>
        <w:t>only test points with CP-OFDM in</w:t>
      </w:r>
      <w:r>
        <w:t xml:space="preserve"> proposal 5 shall be </w:t>
      </w:r>
      <w:r>
        <w:t>tested</w:t>
      </w:r>
      <w:r>
        <w:t>.</w:t>
      </w:r>
    </w:p>
    <w:p w14:paraId="2ECEA012" w14:textId="77BC8B32" w:rsidR="00361FB2" w:rsidRDefault="00361FB2" w:rsidP="00361FB2">
      <w:pPr>
        <w:rPr>
          <w:lang w:eastAsia="ja-JP"/>
        </w:rPr>
      </w:pPr>
      <w:r w:rsidRPr="00BE1946">
        <w:rPr>
          <w:rFonts w:hint="eastAsia"/>
          <w:b/>
        </w:rPr>
        <w:t xml:space="preserve">Proposal </w:t>
      </w:r>
      <w:r>
        <w:rPr>
          <w:b/>
        </w:rPr>
        <w:t>7</w:t>
      </w:r>
      <w:r w:rsidRPr="00FA6140">
        <w:rPr>
          <w:rFonts w:hint="eastAsia"/>
        </w:rPr>
        <w:t>:</w:t>
      </w:r>
      <w:r w:rsidRPr="00FA6140">
        <w:t xml:space="preserve"> </w:t>
      </w:r>
      <w:r>
        <w:t xml:space="preserve">For </w:t>
      </w:r>
      <w:r w:rsidR="002A4814">
        <w:t xml:space="preserve">In-band emission </w:t>
      </w:r>
      <w:r>
        <w:t xml:space="preserve">for UL MIMO, test points selected in proposal 1~4 and 6 can be reused. </w:t>
      </w:r>
      <w:r w:rsidR="003E185E">
        <w:t>T</w:t>
      </w:r>
      <w:r w:rsidR="003E185E">
        <w:t xml:space="preserve">est points with CP-OFDM in proposal 5 </w:t>
      </w:r>
      <w:r w:rsidR="003E185E">
        <w:t>can be reused</w:t>
      </w:r>
      <w:r>
        <w:t>.</w:t>
      </w:r>
    </w:p>
    <w:p w14:paraId="030CE0AA" w14:textId="77777777" w:rsidR="009B3EA0" w:rsidRPr="003B026C" w:rsidRDefault="009B3EA0" w:rsidP="00A802ED">
      <w:pPr>
        <w:jc w:val="both"/>
        <w:rPr>
          <w:lang w:eastAsia="en-US"/>
        </w:rPr>
      </w:pPr>
    </w:p>
    <w:p w14:paraId="7F705E55" w14:textId="656C3BCF" w:rsidR="00AA56D9" w:rsidRPr="003B026C" w:rsidRDefault="00AA56D9" w:rsidP="00AA56D9">
      <w:pPr>
        <w:pStyle w:val="1"/>
        <w:rPr>
          <w:lang w:val="en-US"/>
        </w:rPr>
      </w:pPr>
      <w:r w:rsidRPr="003B026C">
        <w:rPr>
          <w:lang w:val="en-US"/>
        </w:rPr>
        <w:tab/>
        <w:t>Conclusion</w:t>
      </w:r>
    </w:p>
    <w:p w14:paraId="043F6814" w14:textId="6B4BDD5A" w:rsidR="00AA56D9" w:rsidRPr="003B026C" w:rsidRDefault="00AA56D9" w:rsidP="00AA56D9">
      <w:pPr>
        <w:rPr>
          <w:lang w:eastAsia="en-US"/>
        </w:rPr>
      </w:pPr>
      <w:r w:rsidRPr="003B026C">
        <w:rPr>
          <w:lang w:eastAsia="en-US"/>
        </w:rPr>
        <w:t xml:space="preserve">To sum up, the following selection of test points is proposed for </w:t>
      </w:r>
      <w:r w:rsidR="00B848EE">
        <w:rPr>
          <w:lang w:eastAsia="en-US"/>
        </w:rPr>
        <w:t>In-band Emissions</w:t>
      </w:r>
      <w:r w:rsidRPr="003B026C">
        <w:rPr>
          <w:lang w:eastAsia="en-US"/>
        </w:rPr>
        <w:t xml:space="preserve"> in FR1:</w:t>
      </w:r>
    </w:p>
    <w:p w14:paraId="1172B584" w14:textId="04045058"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848EE">
        <w:rPr>
          <w:lang w:eastAsia="en-US"/>
        </w:rPr>
        <w:t>In-band Emissions</w:t>
      </w:r>
      <w:r>
        <w:rPr>
          <w:lang w:eastAsia="en-US"/>
        </w:rPr>
        <w:t xml:space="preserve"> in FR1.</w:t>
      </w:r>
    </w:p>
    <w:p w14:paraId="0908A20F" w14:textId="53B8366B"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w:t>
      </w:r>
      <w:r w:rsidR="00B848EE">
        <w:rPr>
          <w:lang w:eastAsia="en-US"/>
        </w:rPr>
        <w:t>In-band Emissions</w:t>
      </w:r>
      <w:r>
        <w:rPr>
          <w:lang w:eastAsia="en-US"/>
        </w:rPr>
        <w:t xml:space="preserve"> in FR1.</w:t>
      </w:r>
    </w:p>
    <w:p w14:paraId="38D51DD4" w14:textId="459861EF"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w:t>
      </w:r>
      <w:proofErr w:type="spellStart"/>
      <w:proofErr w:type="gramStart"/>
      <w:r>
        <w:rPr>
          <w:lang w:eastAsia="en-US"/>
        </w:rPr>
        <w:t>Mid</w:t>
      </w:r>
      <w:proofErr w:type="gramEnd"/>
      <w:r>
        <w:rPr>
          <w:lang w:eastAsia="en-US"/>
        </w:rPr>
        <w:t xml:space="preserve"> range</w:t>
      </w:r>
      <w:proofErr w:type="spellEnd"/>
      <w:r>
        <w:rPr>
          <w:lang w:eastAsia="en-US"/>
        </w:rPr>
        <w:t>, and High range frequencies in FR1.</w:t>
      </w:r>
    </w:p>
    <w:p w14:paraId="78BCDB0A" w14:textId="77777777" w:rsidR="00B848EE" w:rsidRPr="003B026C" w:rsidRDefault="00B848EE" w:rsidP="00B848EE">
      <w:pPr>
        <w:jc w:val="both"/>
        <w:rPr>
          <w:lang w:eastAsia="en-US"/>
        </w:rPr>
      </w:pPr>
      <w:r w:rsidRPr="003B026C">
        <w:rPr>
          <w:b/>
          <w:lang w:eastAsia="en-US"/>
        </w:rPr>
        <w:t>Proposal 4:</w:t>
      </w:r>
      <w:r w:rsidRPr="003B026C">
        <w:rPr>
          <w:lang w:eastAsia="en-US"/>
        </w:rPr>
        <w:t xml:space="preserve"> Test </w:t>
      </w:r>
      <w:r>
        <w:rPr>
          <w:lang w:eastAsia="en-US"/>
        </w:rPr>
        <w:t>In-band Emissions</w:t>
      </w:r>
      <w:r w:rsidRPr="003B026C">
        <w:rPr>
          <w:lang w:eastAsia="en-US"/>
        </w:rPr>
        <w:t xml:space="preserve"> for </w:t>
      </w:r>
      <w:r>
        <w:rPr>
          <w:lang w:eastAsia="en-US"/>
        </w:rPr>
        <w:t>Lowest, Mid and Highest</w:t>
      </w:r>
      <w:r w:rsidRPr="003B026C">
        <w:rPr>
          <w:lang w:eastAsia="en-US"/>
        </w:rPr>
        <w:t xml:space="preserve"> channel bandwidth in FR1.</w:t>
      </w:r>
    </w:p>
    <w:p w14:paraId="42983F73" w14:textId="2D760427" w:rsidR="005430C7" w:rsidRDefault="00062ECE" w:rsidP="00062ECE">
      <w:pPr>
        <w:rPr>
          <w:lang w:eastAsia="en-US"/>
        </w:rPr>
      </w:pPr>
      <w:r w:rsidRPr="003B026C">
        <w:rPr>
          <w:b/>
          <w:lang w:eastAsia="en-US"/>
        </w:rPr>
        <w:t>Proposal 5:</w:t>
      </w:r>
      <w:r w:rsidRPr="003B026C">
        <w:rPr>
          <w:lang w:eastAsia="en-US"/>
        </w:rPr>
        <w:t xml:space="preserve"> Test </w:t>
      </w:r>
      <w:r w:rsidR="00B848EE">
        <w:rPr>
          <w:lang w:eastAsia="en-US"/>
        </w:rPr>
        <w:t>In-band Emissions</w:t>
      </w:r>
      <w:r>
        <w:rPr>
          <w:lang w:eastAsia="en-US"/>
        </w:rPr>
        <w:t xml:space="preserve"> with DFT-s-OFDM QPSK</w:t>
      </w:r>
      <w:r w:rsidR="00A34221">
        <w:rPr>
          <w:lang w:eastAsia="en-US"/>
        </w:rPr>
        <w:t xml:space="preserve"> and CP-OFDM QPSK</w:t>
      </w:r>
      <w:r>
        <w:rPr>
          <w:lang w:eastAsia="en-US"/>
        </w:rPr>
        <w:t>.</w:t>
      </w:r>
    </w:p>
    <w:p w14:paraId="58EA618D" w14:textId="77777777" w:rsidR="00CF71B7" w:rsidRDefault="00CF71B7" w:rsidP="00CF71B7">
      <w:pPr>
        <w:rPr>
          <w:lang w:eastAsia="ja-JP"/>
        </w:rPr>
      </w:pPr>
      <w:r w:rsidRPr="00BE1946">
        <w:rPr>
          <w:rFonts w:hint="eastAsia"/>
          <w:b/>
        </w:rPr>
        <w:t xml:space="preserve">Proposal </w:t>
      </w:r>
      <w:r>
        <w:rPr>
          <w:b/>
        </w:rPr>
        <w:t>7</w:t>
      </w:r>
      <w:r w:rsidRPr="00FA6140">
        <w:rPr>
          <w:rFonts w:hint="eastAsia"/>
        </w:rPr>
        <w:t>:</w:t>
      </w:r>
      <w:r w:rsidRPr="00FA6140">
        <w:t xml:space="preserve"> </w:t>
      </w:r>
      <w:r>
        <w:t>For In-band emission for UL MIM</w:t>
      </w:r>
      <w:bookmarkStart w:id="5" w:name="_GoBack"/>
      <w:bookmarkEnd w:id="5"/>
      <w:r>
        <w:t>O, test points selected in proposal 1~4 and 6 can be reused. Test points with CP-OFDM in proposal 5 can be reused.</w:t>
      </w:r>
    </w:p>
    <w:p w14:paraId="7C0BB37C" w14:textId="2043C0FB" w:rsidR="00AA56D9" w:rsidRPr="003B026C" w:rsidRDefault="00AA56D9" w:rsidP="00AA56D9">
      <w:pPr>
        <w:pStyle w:val="1"/>
        <w:rPr>
          <w:lang w:val="en-US"/>
        </w:rPr>
      </w:pPr>
      <w:r w:rsidRPr="003B026C">
        <w:rPr>
          <w:lang w:val="en-US"/>
        </w:rPr>
        <w:tab/>
        <w:t>Number of test points</w:t>
      </w:r>
    </w:p>
    <w:p w14:paraId="1B3DA604" w14:textId="61DDB782" w:rsidR="00AA56D9" w:rsidRPr="003B026C" w:rsidRDefault="00AA56D9" w:rsidP="00AA56D9">
      <w:r w:rsidRPr="003B026C">
        <w:t>In this document several proposals have been stated for the configuration parameters. In all of cases the analysis has been focused on reducing testing time without losing coverage in UE testing for NR FR1.</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278"/>
        <w:gridCol w:w="1099"/>
        <w:gridCol w:w="1104"/>
        <w:gridCol w:w="945"/>
        <w:gridCol w:w="1047"/>
      </w:tblGrid>
      <w:tr w:rsidR="00AA56D9" w:rsidRPr="003B026C" w14:paraId="61F75623" w14:textId="77777777" w:rsidTr="00062ECE">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0"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062ECE">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0"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1B570F3B" w:rsidR="00AA56D9" w:rsidRPr="003B026C" w:rsidRDefault="00A34221"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w:t>
            </w:r>
          </w:p>
        </w:tc>
        <w:tc>
          <w:tcPr>
            <w:tcW w:w="754" w:type="pct"/>
          </w:tcPr>
          <w:p w14:paraId="2AB05E78" w14:textId="462B3520" w:rsidR="00AA56D9" w:rsidRPr="003B026C" w:rsidRDefault="00A34221"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36</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1"/>
        <w:numPr>
          <w:ilvl w:val="0"/>
          <w:numId w:val="0"/>
        </w:numPr>
        <w:ind w:left="432" w:hanging="432"/>
        <w:rPr>
          <w:rFonts w:cs="Arial"/>
          <w:lang w:val="en-US"/>
        </w:rPr>
      </w:pPr>
      <w:bookmarkStart w:id="6" w:name="_Ref473660868"/>
      <w:bookmarkStart w:id="7" w:name="_Ref473660708"/>
      <w:bookmarkStart w:id="8" w:name="OLE_LINK6"/>
      <w:bookmarkStart w:id="9" w:name="OLE_LINK7"/>
      <w:r w:rsidRPr="003B026C">
        <w:rPr>
          <w:rFonts w:cs="Arial"/>
          <w:lang w:val="en-US"/>
        </w:rPr>
        <w:t>References</w:t>
      </w:r>
    </w:p>
    <w:p w14:paraId="6AED9EF5" w14:textId="70F4C4E8" w:rsidR="00E446E8" w:rsidRPr="003B026C" w:rsidRDefault="00062ECE" w:rsidP="00E446E8">
      <w:pPr>
        <w:pStyle w:val="a"/>
        <w:numPr>
          <w:ilvl w:val="0"/>
          <w:numId w:val="46"/>
        </w:numPr>
        <w:spacing w:after="0" w:line="240" w:lineRule="auto"/>
        <w:rPr>
          <w:lang w:val="en-GB"/>
        </w:rPr>
      </w:pPr>
      <w:r>
        <w:rPr>
          <w:lang w:val="en-GB"/>
        </w:rPr>
        <w:t>TS 38.101-1 V15.2.0 ,</w:t>
      </w:r>
      <w:r w:rsidR="004F7D33" w:rsidRPr="003B026C">
        <w:rPr>
          <w:noProof/>
          <w:lang w:val="en-US"/>
        </w:rPr>
        <w:t xml:space="preserve"> </w:t>
      </w:r>
      <w:r w:rsidR="00E446E8" w:rsidRPr="003B026C">
        <w:rPr>
          <w:lang w:val="en-GB"/>
        </w:rPr>
        <w:t xml:space="preserve">3GPP TSG RAN WG4, </w:t>
      </w:r>
      <w:r>
        <w:rPr>
          <w:lang w:val="en-GB"/>
        </w:rPr>
        <w:t>June</w:t>
      </w:r>
      <w:r w:rsidR="00E446E8" w:rsidRPr="003B026C">
        <w:rPr>
          <w:lang w:val="en-GB"/>
        </w:rPr>
        <w:t xml:space="preserve"> 2018</w:t>
      </w:r>
    </w:p>
    <w:bookmarkEnd w:id="6"/>
    <w:bookmarkEnd w:id="7"/>
    <w:bookmarkEnd w:id="8"/>
    <w:bookmarkEnd w:id="9"/>
    <w:p w14:paraId="3F053A66" w14:textId="0C3F7631" w:rsidR="001B137F" w:rsidRPr="00936FA1" w:rsidRDefault="001B137F">
      <w:pPr>
        <w:spacing w:after="0" w:line="240" w:lineRule="auto"/>
        <w:rPr>
          <w:lang w:val="en-GB"/>
        </w:rPr>
      </w:pPr>
    </w:p>
    <w:sectPr w:rsidR="001B137F" w:rsidRPr="00936FA1" w:rsidSect="003838EA">
      <w:headerReference w:type="even" r:id="rId28"/>
      <w:headerReference w:type="default" r:id="rId29"/>
      <w:footerReference w:type="even" r:id="rId30"/>
      <w:footerReference w:type="default" r:id="rId31"/>
      <w:headerReference w:type="first" r:id="rId32"/>
      <w:footerReference w:type="first" r:id="rId3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BA6BA" w14:textId="77777777" w:rsidR="00332A2A" w:rsidRDefault="00332A2A" w:rsidP="00371D7D">
      <w:r>
        <w:separator/>
      </w:r>
    </w:p>
  </w:endnote>
  <w:endnote w:type="continuationSeparator" w:id="0">
    <w:p w14:paraId="2DD718E0" w14:textId="77777777" w:rsidR="00332A2A" w:rsidRDefault="00332A2A"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26725" w14:textId="77777777" w:rsidR="00C22756" w:rsidRDefault="00C22756">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5AD71" w14:textId="4FE97A15" w:rsidR="00C22756" w:rsidRPr="000E7B1E" w:rsidRDefault="00C22756" w:rsidP="00D81F96">
    <w:pPr>
      <w:pStyle w:val="aa"/>
    </w:pPr>
    <w:r>
      <w:rPr>
        <w:noProof w:val="0"/>
      </w:rPr>
      <w:t xml:space="preserve">Page </w:t>
    </w:r>
    <w:r>
      <w:rPr>
        <w:noProof w:val="0"/>
      </w:rPr>
      <w:fldChar w:fldCharType="begin"/>
    </w:r>
    <w:r>
      <w:instrText xml:space="preserve"> PAGE   \* MERGEFORMAT </w:instrText>
    </w:r>
    <w:r>
      <w:rPr>
        <w:noProof w:val="0"/>
      </w:rPr>
      <w:fldChar w:fldCharType="separate"/>
    </w:r>
    <w:r w:rsidR="00CF71B7">
      <w:t>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E4623" w14:textId="77777777" w:rsidR="00C22756" w:rsidRDefault="00C2275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1DCD8" w14:textId="77777777" w:rsidR="00332A2A" w:rsidRDefault="00332A2A" w:rsidP="00371D7D">
      <w:r>
        <w:separator/>
      </w:r>
    </w:p>
  </w:footnote>
  <w:footnote w:type="continuationSeparator" w:id="0">
    <w:p w14:paraId="2C5853B5" w14:textId="77777777" w:rsidR="00332A2A" w:rsidRDefault="00332A2A" w:rsidP="0037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B24F09" w14:textId="77777777" w:rsidR="00C22756" w:rsidRDefault="00C22756">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99F5A" w14:textId="77777777" w:rsidR="00C22756" w:rsidRDefault="00C22756">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B038D" w14:textId="77777777" w:rsidR="00C22756" w:rsidRDefault="00C2275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a"/>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432"/>
        </w:tabs>
        <w:ind w:left="432" w:hanging="432"/>
      </w:pPr>
      <w:rPr>
        <w:rFonts w:hint="default"/>
      </w:rPr>
    </w:lvl>
    <w:lvl w:ilvl="2">
      <w:start w:val="1"/>
      <w:numFmt w:val="decimal"/>
      <w:pStyle w:val="3"/>
      <w:lvlText w:val="%1.%2.%3."/>
      <w:lvlJc w:val="left"/>
      <w:pPr>
        <w:tabs>
          <w:tab w:val="num" w:pos="432"/>
        </w:tabs>
        <w:ind w:left="0" w:firstLine="0"/>
      </w:pPr>
      <w:rPr>
        <w:rFonts w:hint="default"/>
      </w:rPr>
    </w:lvl>
    <w:lvl w:ilvl="3">
      <w:start w:val="1"/>
      <w:numFmt w:val="none"/>
      <w:pStyle w:val="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5"/>
      <w:lvlText w:val="%1.%2.%3.%4%5.%6"/>
      <w:lvlJc w:val="left"/>
      <w:pPr>
        <w:tabs>
          <w:tab w:val="num" w:pos="432"/>
        </w:tabs>
        <w:ind w:left="432" w:hanging="432"/>
      </w:pPr>
      <w:rPr>
        <w:rFonts w:hint="default"/>
      </w:rPr>
    </w:lvl>
    <w:lvl w:ilvl="6">
      <w:start w:val="1"/>
      <w:numFmt w:val="decimal"/>
      <w:pStyle w:val="7"/>
      <w:lvlText w:val="%1.%2.%3.%4.%5.%6.%7"/>
      <w:lvlJc w:val="left"/>
      <w:pPr>
        <w:tabs>
          <w:tab w:val="num" w:pos="432"/>
        </w:tabs>
        <w:ind w:left="432" w:hanging="432"/>
      </w:pPr>
      <w:rPr>
        <w:rFonts w:hint="default"/>
      </w:rPr>
    </w:lvl>
    <w:lvl w:ilvl="7">
      <w:start w:val="1"/>
      <w:numFmt w:val="decimal"/>
      <w:pStyle w:val="8"/>
      <w:lvlText w:val="%1.%2.%3.%4.%5.%6.%7.%8"/>
      <w:lvlJc w:val="left"/>
      <w:pPr>
        <w:tabs>
          <w:tab w:val="num" w:pos="432"/>
        </w:tabs>
        <w:ind w:left="432" w:hanging="432"/>
      </w:pPr>
      <w:rPr>
        <w:rFonts w:hint="default"/>
      </w:rPr>
    </w:lvl>
    <w:lvl w:ilvl="8">
      <w:start w:val="1"/>
      <w:numFmt w:val="decimal"/>
      <w:pStyle w:val="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宋体"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5F8"/>
    <w:rsid w:val="002947A5"/>
    <w:rsid w:val="002965D4"/>
    <w:rsid w:val="00296747"/>
    <w:rsid w:val="002971B6"/>
    <w:rsid w:val="00297831"/>
    <w:rsid w:val="002A02DF"/>
    <w:rsid w:val="002A06EC"/>
    <w:rsid w:val="002A134F"/>
    <w:rsid w:val="002A2AB2"/>
    <w:rsid w:val="002A4814"/>
    <w:rsid w:val="002A5E41"/>
    <w:rsid w:val="002A659B"/>
    <w:rsid w:val="002B111A"/>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C89"/>
    <w:rsid w:val="00305D94"/>
    <w:rsid w:val="00306245"/>
    <w:rsid w:val="003112E8"/>
    <w:rsid w:val="0031299F"/>
    <w:rsid w:val="00315F9F"/>
    <w:rsid w:val="00316376"/>
    <w:rsid w:val="00316F3F"/>
    <w:rsid w:val="003200D8"/>
    <w:rsid w:val="0032672D"/>
    <w:rsid w:val="003300C3"/>
    <w:rsid w:val="00330686"/>
    <w:rsid w:val="003321C2"/>
    <w:rsid w:val="00332A2A"/>
    <w:rsid w:val="00332D69"/>
    <w:rsid w:val="003344C4"/>
    <w:rsid w:val="00334F04"/>
    <w:rsid w:val="003434B3"/>
    <w:rsid w:val="00344B2B"/>
    <w:rsid w:val="0035204A"/>
    <w:rsid w:val="0036038D"/>
    <w:rsid w:val="003607C5"/>
    <w:rsid w:val="003608E0"/>
    <w:rsid w:val="00361FB2"/>
    <w:rsid w:val="003660C7"/>
    <w:rsid w:val="003664A2"/>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185E"/>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5AB4"/>
    <w:rsid w:val="00506FB3"/>
    <w:rsid w:val="005078E7"/>
    <w:rsid w:val="00510F85"/>
    <w:rsid w:val="00514970"/>
    <w:rsid w:val="00516D9C"/>
    <w:rsid w:val="00517DEB"/>
    <w:rsid w:val="005208AB"/>
    <w:rsid w:val="00521C12"/>
    <w:rsid w:val="0052278C"/>
    <w:rsid w:val="005242EF"/>
    <w:rsid w:val="005247E8"/>
    <w:rsid w:val="0052481A"/>
    <w:rsid w:val="00524CE0"/>
    <w:rsid w:val="00525441"/>
    <w:rsid w:val="00533FBD"/>
    <w:rsid w:val="00534096"/>
    <w:rsid w:val="005346EC"/>
    <w:rsid w:val="005356CB"/>
    <w:rsid w:val="005374EC"/>
    <w:rsid w:val="00537AA4"/>
    <w:rsid w:val="00542862"/>
    <w:rsid w:val="005430C7"/>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0B5F"/>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206"/>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3648"/>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26B6"/>
    <w:rsid w:val="009943F3"/>
    <w:rsid w:val="0099496E"/>
    <w:rsid w:val="009955B7"/>
    <w:rsid w:val="00997680"/>
    <w:rsid w:val="009A1270"/>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11E41"/>
    <w:rsid w:val="00B13078"/>
    <w:rsid w:val="00B130F2"/>
    <w:rsid w:val="00B1538B"/>
    <w:rsid w:val="00B153A1"/>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77611"/>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46C7"/>
    <w:rsid w:val="00CD6B1A"/>
    <w:rsid w:val="00CE0D0F"/>
    <w:rsid w:val="00CE2567"/>
    <w:rsid w:val="00CE6A12"/>
    <w:rsid w:val="00CE7B33"/>
    <w:rsid w:val="00CF23C9"/>
    <w:rsid w:val="00CF3ECE"/>
    <w:rsid w:val="00CF41D2"/>
    <w:rsid w:val="00CF71B7"/>
    <w:rsid w:val="00D0035A"/>
    <w:rsid w:val="00D04FCA"/>
    <w:rsid w:val="00D05BE4"/>
    <w:rsid w:val="00D071B9"/>
    <w:rsid w:val="00D112F2"/>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6B2D"/>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0F88"/>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8B9"/>
    <w:rsid w:val="00EA4D76"/>
    <w:rsid w:val="00EA5264"/>
    <w:rsid w:val="00EA76CE"/>
    <w:rsid w:val="00EB21DE"/>
    <w:rsid w:val="00EB4866"/>
    <w:rsid w:val="00EB7838"/>
    <w:rsid w:val="00EB7CDF"/>
    <w:rsid w:val="00EC04F5"/>
    <w:rsid w:val="00EC0C9D"/>
    <w:rsid w:val="00EC1757"/>
    <w:rsid w:val="00EC5F39"/>
    <w:rsid w:val="00ED4C48"/>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6A64"/>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97969"/>
    <w:pPr>
      <w:spacing w:after="200" w:line="276" w:lineRule="auto"/>
    </w:pPr>
    <w:rPr>
      <w:rFonts w:ascii="Arial" w:hAnsi="Arial" w:cs="Arial"/>
      <w:sz w:val="22"/>
      <w:szCs w:val="22"/>
      <w:lang w:val="en-US" w:eastAsia="zh-CN"/>
    </w:rPr>
  </w:style>
  <w:style w:type="paragraph" w:styleId="1">
    <w:name w:val="heading 1"/>
    <w:aliases w:val="H1,h1,NMP Heading 1,app heading 1,l1,Memo Heading 1,h11,h12,h13,h14,h15,h16,h17,h111,h121,h131,h141,h151,h161,h18,h112,h122,h132,h142,h152,h162,h19,h113,h123,h133,h143,h153,h163,1,Section of paper,Heading 1_a"/>
    <w:next w:val="a0"/>
    <w:link w:val="1Char"/>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371D7D"/>
    <w:pPr>
      <w:numPr>
        <w:ilvl w:val="1"/>
      </w:numPr>
      <w:pBdr>
        <w:top w:val="none" w:sz="0" w:space="0" w:color="auto"/>
      </w:pBdr>
      <w:spacing w:before="180"/>
      <w:outlineLvl w:val="1"/>
    </w:pPr>
    <w:rPr>
      <w:sz w:val="24"/>
      <w:szCs w:val="24"/>
      <w:lang w:val="x-none"/>
    </w:rPr>
  </w:style>
  <w:style w:type="paragraph" w:styleId="3">
    <w:name w:val="heading 3"/>
    <w:basedOn w:val="2"/>
    <w:next w:val="a0"/>
    <w:link w:val="3Char"/>
    <w:qFormat/>
    <w:rsid w:val="001C1D01"/>
    <w:pPr>
      <w:numPr>
        <w:ilvl w:val="2"/>
      </w:numPr>
      <w:spacing w:before="120"/>
      <w:outlineLvl w:val="2"/>
    </w:pPr>
    <w:rPr>
      <w:b w:val="0"/>
    </w:rPr>
  </w:style>
  <w:style w:type="paragraph" w:styleId="4">
    <w:name w:val="heading 4"/>
    <w:aliases w:val="h4,H4,H41,h41,H42,h42,H43,h43,H411,h411,H421,h421,H44,h44,H412,h412,H422,h422,H431,h431,H45,h45,H413,h413,H423,h423,H432,h432,H46,h46,H47,h47"/>
    <w:basedOn w:val="3"/>
    <w:next w:val="a0"/>
    <w:link w:val="4Char"/>
    <w:qFormat/>
    <w:rsid w:val="004F4D21"/>
    <w:pPr>
      <w:numPr>
        <w:ilvl w:val="3"/>
      </w:numPr>
      <w:outlineLvl w:val="3"/>
    </w:pPr>
    <w:rPr>
      <w:szCs w:val="20"/>
      <w:lang w:val="en-GB"/>
    </w:rPr>
  </w:style>
  <w:style w:type="paragraph" w:styleId="5">
    <w:name w:val="heading 5"/>
    <w:aliases w:val="h5,Heading5"/>
    <w:basedOn w:val="4"/>
    <w:next w:val="a0"/>
    <w:link w:val="5Char"/>
    <w:qFormat/>
    <w:rsid w:val="004F4D21"/>
    <w:pPr>
      <w:numPr>
        <w:ilvl w:val="5"/>
      </w:numPr>
      <w:outlineLvl w:val="4"/>
    </w:pPr>
    <w:rPr>
      <w:sz w:val="20"/>
    </w:rPr>
  </w:style>
  <w:style w:type="paragraph" w:styleId="7">
    <w:name w:val="heading 7"/>
    <w:basedOn w:val="a0"/>
    <w:next w:val="a0"/>
    <w:link w:val="7Char"/>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8">
    <w:name w:val="heading 8"/>
    <w:basedOn w:val="1"/>
    <w:next w:val="a0"/>
    <w:link w:val="8Char"/>
    <w:qFormat/>
    <w:rsid w:val="004F4D21"/>
    <w:pPr>
      <w:numPr>
        <w:ilvl w:val="7"/>
      </w:numPr>
      <w:outlineLvl w:val="7"/>
    </w:pPr>
    <w:rPr>
      <w:b w:val="0"/>
      <w:sz w:val="36"/>
    </w:rPr>
  </w:style>
  <w:style w:type="paragraph" w:styleId="9">
    <w:name w:val="heading 9"/>
    <w:basedOn w:val="8"/>
    <w:next w:val="a0"/>
    <w:link w:val="9Char"/>
    <w:qFormat/>
    <w:rsid w:val="004F4D2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arbigeSchattierung-Akzent31">
    <w:name w:val="Farbige Schattierung - Akzent 31"/>
    <w:basedOn w:val="a0"/>
    <w:uiPriority w:val="34"/>
    <w:qFormat/>
    <w:rsid w:val="00FE73F2"/>
    <w:pPr>
      <w:ind w:left="720"/>
      <w:contextualSpacing/>
    </w:pPr>
  </w:style>
  <w:style w:type="paragraph" w:styleId="a4">
    <w:name w:val="Balloon Text"/>
    <w:basedOn w:val="a0"/>
    <w:link w:val="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Char">
    <w:name w:val="批注框文本 Char"/>
    <w:link w:val="a4"/>
    <w:uiPriority w:val="99"/>
    <w:semiHidden/>
    <w:rsid w:val="00FE73F2"/>
    <w:rPr>
      <w:rFonts w:ascii="Tahoma" w:eastAsia="宋体" w:hAnsi="Tahoma" w:cs="Tahoma"/>
      <w:sz w:val="16"/>
      <w:szCs w:val="16"/>
    </w:rPr>
  </w:style>
  <w:style w:type="character" w:customStyle="1" w:styleId="1Char">
    <w:name w:val="标题 1 Char"/>
    <w:aliases w:val="H1 Char"/>
    <w:link w:val="1"/>
    <w:rsid w:val="00371D7D"/>
    <w:rPr>
      <w:rFonts w:ascii="Arial" w:hAnsi="Arial"/>
      <w:b/>
      <w:sz w:val="28"/>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71D7D"/>
    <w:rPr>
      <w:rFonts w:ascii="Arial" w:hAnsi="Arial" w:cs="Arial"/>
      <w:b/>
      <w:sz w:val="24"/>
      <w:szCs w:val="24"/>
      <w:lang w:eastAsia="en-US"/>
    </w:rPr>
  </w:style>
  <w:style w:type="character" w:customStyle="1" w:styleId="3Char">
    <w:name w:val="标题 3 Char"/>
    <w:link w:val="3"/>
    <w:rsid w:val="001C1D01"/>
    <w:rPr>
      <w:rFonts w:ascii="Arial" w:hAnsi="Arial" w:cs="Arial"/>
      <w:sz w:val="24"/>
      <w:szCs w:val="24"/>
      <w:lang w:eastAsia="en-US"/>
    </w:rPr>
  </w:style>
  <w:style w:type="character" w:customStyle="1" w:styleId="4Char">
    <w:name w:val="标题 4 Char"/>
    <w:aliases w:val="h4 Char"/>
    <w:link w:val="4"/>
    <w:rsid w:val="004F4D21"/>
    <w:rPr>
      <w:rFonts w:ascii="Arial" w:eastAsia="宋体" w:hAnsi="Arial" w:cs="Times New Roman"/>
      <w:sz w:val="24"/>
      <w:szCs w:val="20"/>
      <w:lang w:val="en-GB" w:eastAsia="en-US"/>
    </w:rPr>
  </w:style>
  <w:style w:type="character" w:customStyle="1" w:styleId="5Char">
    <w:name w:val="标题 5 Char"/>
    <w:aliases w:val="h5 Char,Heading5 Char"/>
    <w:link w:val="5"/>
    <w:rsid w:val="004F4D21"/>
    <w:rPr>
      <w:rFonts w:ascii="Arial" w:eastAsia="宋体" w:hAnsi="Arial" w:cs="Times New Roman"/>
      <w:szCs w:val="20"/>
      <w:lang w:val="en-GB" w:eastAsia="en-US"/>
    </w:rPr>
  </w:style>
  <w:style w:type="character" w:customStyle="1" w:styleId="7Char">
    <w:name w:val="标题 7 Char"/>
    <w:link w:val="7"/>
    <w:rsid w:val="004F4D21"/>
    <w:rPr>
      <w:rFonts w:ascii="Arial" w:hAnsi="Arial"/>
      <w:lang w:val="en-GB" w:eastAsia="en-US"/>
    </w:rPr>
  </w:style>
  <w:style w:type="character" w:customStyle="1" w:styleId="8Char">
    <w:name w:val="标题 8 Char"/>
    <w:link w:val="8"/>
    <w:rsid w:val="004F4D21"/>
    <w:rPr>
      <w:rFonts w:ascii="Arial" w:eastAsia="宋体" w:hAnsi="Arial" w:cs="Times New Roman"/>
      <w:sz w:val="36"/>
      <w:szCs w:val="20"/>
      <w:lang w:val="en-GB" w:eastAsia="en-US"/>
    </w:rPr>
  </w:style>
  <w:style w:type="character" w:customStyle="1" w:styleId="9Char">
    <w:name w:val="标题 9 Char"/>
    <w:link w:val="9"/>
    <w:rsid w:val="004F4D21"/>
    <w:rPr>
      <w:rFonts w:ascii="Arial" w:eastAsia="宋体" w:hAnsi="Arial" w:cs="Times New Roman"/>
      <w:sz w:val="36"/>
      <w:szCs w:val="20"/>
      <w:lang w:val="en-GB" w:eastAsia="en-US"/>
    </w:rPr>
  </w:style>
  <w:style w:type="paragraph" w:customStyle="1" w:styleId="References">
    <w:name w:val="References"/>
    <w:basedOn w:val="a0"/>
    <w:rsid w:val="007E47C9"/>
    <w:pPr>
      <w:numPr>
        <w:numId w:val="4"/>
      </w:numPr>
      <w:spacing w:after="80" w:line="240" w:lineRule="auto"/>
    </w:pPr>
    <w:rPr>
      <w:rFonts w:ascii="Times New Roman" w:hAnsi="Times New Roman"/>
      <w:sz w:val="18"/>
      <w:szCs w:val="20"/>
      <w:lang w:eastAsia="en-US"/>
    </w:rPr>
  </w:style>
  <w:style w:type="character" w:styleId="a5">
    <w:name w:val="annotation reference"/>
    <w:uiPriority w:val="99"/>
    <w:semiHidden/>
    <w:unhideWhenUsed/>
    <w:rsid w:val="001530C0"/>
    <w:rPr>
      <w:sz w:val="16"/>
      <w:szCs w:val="16"/>
    </w:rPr>
  </w:style>
  <w:style w:type="paragraph" w:styleId="a6">
    <w:name w:val="annotation text"/>
    <w:basedOn w:val="a0"/>
    <w:link w:val="Char0"/>
    <w:uiPriority w:val="99"/>
    <w:unhideWhenUsed/>
    <w:rsid w:val="001530C0"/>
    <w:pPr>
      <w:spacing w:line="240" w:lineRule="auto"/>
    </w:pPr>
    <w:rPr>
      <w:rFonts w:ascii="Calibri" w:hAnsi="Calibri" w:cs="Times New Roman"/>
      <w:sz w:val="20"/>
      <w:szCs w:val="20"/>
      <w:lang w:val="x-none" w:eastAsia="x-none"/>
    </w:rPr>
  </w:style>
  <w:style w:type="character" w:customStyle="1" w:styleId="Char0">
    <w:name w:val="批注文字 Char"/>
    <w:link w:val="a6"/>
    <w:uiPriority w:val="99"/>
    <w:rsid w:val="001530C0"/>
    <w:rPr>
      <w:rFonts w:ascii="Calibri" w:eastAsia="宋体" w:hAnsi="Calibri" w:cs="Times New Roman"/>
      <w:sz w:val="20"/>
      <w:szCs w:val="20"/>
    </w:rPr>
  </w:style>
  <w:style w:type="paragraph" w:styleId="a7">
    <w:name w:val="annotation subject"/>
    <w:basedOn w:val="a6"/>
    <w:next w:val="a6"/>
    <w:link w:val="Char1"/>
    <w:uiPriority w:val="99"/>
    <w:semiHidden/>
    <w:unhideWhenUsed/>
    <w:rsid w:val="001530C0"/>
    <w:rPr>
      <w:b/>
      <w:bCs/>
    </w:rPr>
  </w:style>
  <w:style w:type="character" w:customStyle="1" w:styleId="Char1">
    <w:name w:val="批注主题 Char"/>
    <w:link w:val="a7"/>
    <w:uiPriority w:val="99"/>
    <w:semiHidden/>
    <w:rsid w:val="001530C0"/>
    <w:rPr>
      <w:rFonts w:ascii="Calibri" w:eastAsia="宋体" w:hAnsi="Calibri" w:cs="Times New Roman"/>
      <w:b/>
      <w:bCs/>
      <w:sz w:val="20"/>
      <w:szCs w:val="20"/>
    </w:rPr>
  </w:style>
  <w:style w:type="table" w:styleId="a8">
    <w:name w:val="Table Grid"/>
    <w:basedOn w:val="a2"/>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aa">
    <w:name w:val="footer"/>
    <w:basedOn w:val="ab"/>
    <w:link w:val="Char2"/>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Char2">
    <w:name w:val="页脚 Char"/>
    <w:link w:val="aa"/>
    <w:uiPriority w:val="99"/>
    <w:rsid w:val="00014639"/>
    <w:rPr>
      <w:rFonts w:ascii="Arial" w:eastAsia="MS Mincho" w:hAnsi="Arial" w:cs="Times New Roman"/>
      <w:b/>
      <w:i/>
      <w:noProof/>
      <w:sz w:val="18"/>
      <w:szCs w:val="20"/>
      <w:lang w:val="en-GB" w:eastAsia="en-US"/>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
    <w:basedOn w:val="a0"/>
    <w:link w:val="Char3"/>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
    <w:link w:val="ab"/>
    <w:rsid w:val="00014639"/>
    <w:rPr>
      <w:rFonts w:ascii="Calibri" w:eastAsia="宋体"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ac">
    <w:name w:val="caption"/>
    <w:basedOn w:val="a0"/>
    <w:next w:val="a0"/>
    <w:uiPriority w:val="35"/>
    <w:qFormat/>
    <w:rsid w:val="001C5363"/>
    <w:pPr>
      <w:spacing w:line="240" w:lineRule="auto"/>
      <w:jc w:val="center"/>
    </w:pPr>
    <w:rPr>
      <w:rFonts w:eastAsia="Calibri" w:cs="Times New Roman"/>
      <w:b/>
      <w:bCs/>
      <w:sz w:val="18"/>
      <w:szCs w:val="18"/>
      <w:lang w:eastAsia="en-US"/>
    </w:rPr>
  </w:style>
  <w:style w:type="paragraph" w:styleId="ad">
    <w:name w:val="Normal Indent"/>
    <w:aliases w:val="Normal Indent Char2 Char,Normal Indent Char Char1 Char,Normal Indent Char1 Char Char Char,Normal Indent Char Char Char Char Char,Normal Indent Char1 Char1 Char,Normal Indent Char Char Char1 Char,Normal Indent Char1 Char"/>
    <w:basedOn w:val="a0"/>
    <w:link w:val="Char4"/>
    <w:unhideWhenUsed/>
    <w:rsid w:val="00635940"/>
    <w:pPr>
      <w:spacing w:after="0" w:line="240" w:lineRule="auto"/>
      <w:ind w:left="720"/>
      <w:jc w:val="both"/>
    </w:pPr>
    <w:rPr>
      <w:rFonts w:cs="Times New Roman"/>
      <w:sz w:val="20"/>
      <w:szCs w:val="20"/>
      <w:lang w:val="en-GB" w:eastAsia="fi-FI"/>
    </w:rPr>
  </w:style>
  <w:style w:type="character" w:customStyle="1" w:styleId="Char4">
    <w:name w:val="正文缩进 Char"/>
    <w:aliases w:val="Normal Indent Char2 Char Char,Normal Indent Char Char1 Char Char,Normal Indent Char1 Char Char Char Char,Normal Indent Char Char Char Char Char Char,Normal Indent Char1 Char1 Char Char,Normal Indent Char Char Char1 Char Char"/>
    <w:link w:val="ad"/>
    <w:locked/>
    <w:rsid w:val="00635940"/>
    <w:rPr>
      <w:rFonts w:ascii="Arial" w:hAnsi="Arial"/>
      <w:lang w:val="en-GB" w:eastAsia="fi-FI"/>
    </w:rPr>
  </w:style>
  <w:style w:type="paragraph" w:customStyle="1" w:styleId="ae">
    <w:name w:val="段"/>
    <w:uiPriority w:val="99"/>
    <w:rsid w:val="00635940"/>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a0"/>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a0"/>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a0"/>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af">
    <w:name w:val="Placeholder Text"/>
    <w:basedOn w:val="a1"/>
    <w:uiPriority w:val="99"/>
    <w:unhideWhenUsed/>
    <w:rsid w:val="00AF60AE"/>
    <w:rPr>
      <w:color w:val="808080"/>
    </w:rPr>
  </w:style>
  <w:style w:type="paragraph" w:styleId="a">
    <w:name w:val="List Paragraph"/>
    <w:basedOn w:val="a0"/>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af0">
    <w:name w:val="Strong"/>
    <w:basedOn w:val="a1"/>
    <w:uiPriority w:val="20"/>
    <w:qFormat/>
    <w:rsid w:val="003D0E5C"/>
    <w:rPr>
      <w:b/>
      <w:bCs/>
    </w:rPr>
  </w:style>
  <w:style w:type="character" w:customStyle="1" w:styleId="c-phonebook-results-content">
    <w:name w:val="c-phonebook-results-content"/>
    <w:basedOn w:val="a1"/>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
    <w:name w:val="HTML Acronym"/>
    <w:basedOn w:val="a1"/>
    <w:uiPriority w:val="99"/>
    <w:semiHidden/>
    <w:unhideWhenUsed/>
    <w:rsid w:val="005964E4"/>
  </w:style>
  <w:style w:type="table" w:styleId="af1">
    <w:name w:val="Light List"/>
    <w:basedOn w:val="a2"/>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a0"/>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1CB0C-8EA4-49FE-9704-C01E3EAB9D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1174</Words>
  <Characters>6695</Characters>
  <Application>Microsoft Office Word</Application>
  <DocSecurity>0</DocSecurity>
  <Lines>55</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7854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2018-08-24T11:21:00Z</dcterms:created>
  <dcterms:modified xsi:type="dcterms:W3CDTF">2019-08-07T09:15:00Z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1565169193</vt:lpwstr>
  </property>
</Properties>
</file>